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3199" w14:paraId="2A748238" w14:textId="77777777" w:rsidTr="0010095E">
        <w:trPr>
          <w:trHeight w:hRule="exact" w:val="1418"/>
        </w:trPr>
        <w:tc>
          <w:tcPr>
            <w:tcW w:w="6804" w:type="dxa"/>
            <w:shd w:val="clear" w:color="auto" w:fill="auto"/>
            <w:vAlign w:val="center"/>
          </w:tcPr>
          <w:p w14:paraId="5D22150E" w14:textId="77777777" w:rsidR="00751A4A" w:rsidRPr="00413199" w:rsidRDefault="00111CE2" w:rsidP="0010095E">
            <w:pPr>
              <w:pStyle w:val="EPName"/>
            </w:pPr>
            <w:r w:rsidRPr="00413199">
              <w:t>Evropski parlament</w:t>
            </w:r>
          </w:p>
          <w:p w14:paraId="7F8EAE85" w14:textId="77777777" w:rsidR="00751A4A" w:rsidRPr="00413199" w:rsidRDefault="005F1B17" w:rsidP="005F1B17">
            <w:pPr>
              <w:pStyle w:val="EPTerm"/>
              <w:rPr>
                <w:rStyle w:val="HideTWBExt"/>
                <w:noProof w:val="0"/>
                <w:vanish w:val="0"/>
                <w:color w:val="auto"/>
              </w:rPr>
            </w:pPr>
            <w:r w:rsidRPr="00413199">
              <w:t>2024</w:t>
            </w:r>
            <w:r w:rsidR="00817416" w:rsidRPr="00413199">
              <w:t>-202</w:t>
            </w:r>
            <w:r w:rsidRPr="00413199">
              <w:t>9</w:t>
            </w:r>
          </w:p>
        </w:tc>
        <w:tc>
          <w:tcPr>
            <w:tcW w:w="2268" w:type="dxa"/>
            <w:shd w:val="clear" w:color="auto" w:fill="auto"/>
          </w:tcPr>
          <w:p w14:paraId="1FCA2EDC" w14:textId="77777777" w:rsidR="00751A4A" w:rsidRPr="00413199" w:rsidRDefault="00187494" w:rsidP="0010095E">
            <w:pPr>
              <w:pStyle w:val="EPLogo"/>
            </w:pPr>
            <w:r w:rsidRPr="00413199">
              <w:rPr>
                <w:noProof/>
                <w:lang w:eastAsia="ja-JP"/>
              </w:rPr>
              <w:drawing>
                <wp:inline distT="0" distB="0" distL="0" distR="0" wp14:anchorId="508D4C2B" wp14:editId="57AFDF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B45F15" w14:textId="77777777" w:rsidR="00D058B8" w:rsidRPr="00413199" w:rsidRDefault="00D058B8" w:rsidP="004C5D52">
      <w:pPr>
        <w:pStyle w:val="LineTop"/>
      </w:pPr>
    </w:p>
    <w:p w14:paraId="6CB08011" w14:textId="77777777" w:rsidR="00680577" w:rsidRPr="00413199" w:rsidRDefault="00111CE2" w:rsidP="00680577">
      <w:pPr>
        <w:pStyle w:val="EPBodyTA1"/>
      </w:pPr>
      <w:r w:rsidRPr="00413199">
        <w:t>SPREJETA BESEDILA</w:t>
      </w:r>
    </w:p>
    <w:p w14:paraId="4A2E0B67" w14:textId="77777777" w:rsidR="00D058B8" w:rsidRPr="00413199" w:rsidRDefault="00D058B8" w:rsidP="00D058B8">
      <w:pPr>
        <w:pStyle w:val="LineBottom"/>
      </w:pPr>
    </w:p>
    <w:p w14:paraId="637858BD" w14:textId="17DDE3DB" w:rsidR="00111CE2" w:rsidRPr="00413199" w:rsidRDefault="00111CE2" w:rsidP="00111CE2">
      <w:pPr>
        <w:pStyle w:val="ATHeading1"/>
      </w:pPr>
      <w:bookmarkStart w:id="0" w:name="TANumber"/>
      <w:r w:rsidRPr="00413199">
        <w:t>P10_TA(2025)</w:t>
      </w:r>
      <w:bookmarkEnd w:id="0"/>
      <w:r w:rsidR="00837F43">
        <w:t>0205</w:t>
      </w:r>
    </w:p>
    <w:p w14:paraId="1AF14133" w14:textId="77777777" w:rsidR="00111CE2" w:rsidRPr="00413199" w:rsidRDefault="00111CE2" w:rsidP="00111CE2">
      <w:pPr>
        <w:pStyle w:val="ATHeading2"/>
      </w:pPr>
      <w:bookmarkStart w:id="1" w:name="title"/>
      <w:r w:rsidRPr="00413199">
        <w:t>Zahteva za odvzem imunitete Pétru Magyaru</w:t>
      </w:r>
      <w:bookmarkEnd w:id="1"/>
    </w:p>
    <w:p w14:paraId="345F02A4" w14:textId="77777777" w:rsidR="00111CE2" w:rsidRPr="00413199" w:rsidRDefault="00111CE2" w:rsidP="00111CE2">
      <w:pPr>
        <w:rPr>
          <w:i/>
          <w:vanish/>
        </w:rPr>
      </w:pPr>
      <w:r w:rsidRPr="00413199">
        <w:rPr>
          <w:i/>
        </w:rPr>
        <w:fldChar w:fldCharType="begin"/>
      </w:r>
      <w:r w:rsidRPr="00413199">
        <w:rPr>
          <w:i/>
        </w:rPr>
        <w:instrText xml:space="preserve"> TC"(</w:instrText>
      </w:r>
      <w:bookmarkStart w:id="2" w:name="DocNumber"/>
      <w:r w:rsidRPr="00413199">
        <w:rPr>
          <w:i/>
        </w:rPr>
        <w:instrText>A10-0182/2025</w:instrText>
      </w:r>
      <w:bookmarkEnd w:id="2"/>
      <w:r w:rsidRPr="00413199">
        <w:rPr>
          <w:i/>
        </w:rPr>
        <w:instrText xml:space="preserve"> - Poročevalec: Ilhan Kyuchyuk)"\l3 \n&gt; \* MERGEFORMAT </w:instrText>
      </w:r>
      <w:r w:rsidRPr="00413199">
        <w:rPr>
          <w:i/>
        </w:rPr>
        <w:fldChar w:fldCharType="end"/>
      </w:r>
    </w:p>
    <w:p w14:paraId="3BF52180" w14:textId="77777777" w:rsidR="00111CE2" w:rsidRPr="00413199" w:rsidRDefault="00111CE2" w:rsidP="00111CE2">
      <w:pPr>
        <w:rPr>
          <w:vanish/>
        </w:rPr>
      </w:pPr>
      <w:bookmarkStart w:id="3" w:name="Commission"/>
      <w:r w:rsidRPr="00413199">
        <w:rPr>
          <w:vanish/>
        </w:rPr>
        <w:t>Odbor za pravne zadeve</w:t>
      </w:r>
      <w:bookmarkEnd w:id="3"/>
    </w:p>
    <w:p w14:paraId="4612EFC2" w14:textId="77777777" w:rsidR="00111CE2" w:rsidRPr="00413199" w:rsidRDefault="00111CE2" w:rsidP="00111CE2">
      <w:pPr>
        <w:rPr>
          <w:vanish/>
        </w:rPr>
      </w:pPr>
      <w:bookmarkStart w:id="4" w:name="PE"/>
      <w:r w:rsidRPr="00413199">
        <w:rPr>
          <w:vanish/>
        </w:rPr>
        <w:t>PE775.580</w:t>
      </w:r>
      <w:bookmarkEnd w:id="4"/>
    </w:p>
    <w:p w14:paraId="5F84D186" w14:textId="6C7E74D3" w:rsidR="00111CE2" w:rsidRPr="00413199" w:rsidRDefault="00111CE2" w:rsidP="00111CE2">
      <w:pPr>
        <w:pStyle w:val="ATHeading3"/>
      </w:pPr>
      <w:bookmarkStart w:id="5" w:name="Sujet"/>
      <w:r w:rsidRPr="00413199">
        <w:t xml:space="preserve">Sklep Evropskega parlamenta z dne </w:t>
      </w:r>
      <w:r w:rsidR="00D130A3" w:rsidRPr="00413199">
        <w:t>7. oktobra</w:t>
      </w:r>
      <w:r w:rsidRPr="00413199">
        <w:t xml:space="preserve"> 2025 o zahtevi za odvzem imunitete Pétru Magyaru</w:t>
      </w:r>
      <w:bookmarkEnd w:id="5"/>
      <w:r w:rsidRPr="00413199">
        <w:t xml:space="preserve"> </w:t>
      </w:r>
      <w:bookmarkStart w:id="6" w:name="References"/>
      <w:r w:rsidRPr="00413199">
        <w:t>(2025/2096(IMM))</w:t>
      </w:r>
      <w:bookmarkEnd w:id="6"/>
    </w:p>
    <w:p w14:paraId="18B248F7" w14:textId="77777777" w:rsidR="00546D1E" w:rsidRPr="00413199" w:rsidRDefault="00546D1E" w:rsidP="00546D1E">
      <w:pPr>
        <w:pStyle w:val="EPComma"/>
      </w:pPr>
      <w:bookmarkStart w:id="7" w:name="TextBodyBegin"/>
      <w:bookmarkEnd w:id="7"/>
      <w:r w:rsidRPr="00413199">
        <w:rPr>
          <w:i/>
        </w:rPr>
        <w:t>Evropski parlament</w:t>
      </w:r>
      <w:r w:rsidRPr="00413199">
        <w:t>,</w:t>
      </w:r>
    </w:p>
    <w:p w14:paraId="0AA5F876" w14:textId="616D4846" w:rsidR="00546D1E" w:rsidRPr="00413199" w:rsidRDefault="00546D1E" w:rsidP="00546D1E">
      <w:pPr>
        <w:pStyle w:val="NormalHanging12a"/>
      </w:pPr>
      <w:r w:rsidRPr="00413199">
        <w:t>–</w:t>
      </w:r>
      <w:r w:rsidRPr="00413199">
        <w:tab/>
        <w:t xml:space="preserve">ob upoštevanju zahteve za odvzem imunitete Pétru Magyaru, ki jo je dne 21. marca 2025 posredovalo </w:t>
      </w:r>
      <w:r w:rsidR="008518A7" w:rsidRPr="00AB46E9">
        <w:t xml:space="preserve">osrednje </w:t>
      </w:r>
      <w:r w:rsidRPr="00413199">
        <w:t xml:space="preserve">okrožno sodišče </w:t>
      </w:r>
      <w:r w:rsidR="008518A7" w:rsidRPr="00413199">
        <w:t xml:space="preserve">v </w:t>
      </w:r>
      <w:r w:rsidRPr="00413199">
        <w:t>Pešt</w:t>
      </w:r>
      <w:r w:rsidR="008518A7" w:rsidRPr="00413199">
        <w:t>i</w:t>
      </w:r>
      <w:r w:rsidRPr="00413199">
        <w:t xml:space="preserve"> </w:t>
      </w:r>
      <w:r w:rsidR="000F5AD5" w:rsidRPr="00413199">
        <w:t xml:space="preserve">na Madžarskem </w:t>
      </w:r>
      <w:r w:rsidRPr="00413199">
        <w:t xml:space="preserve">v zvezi s kazenskim postopkom </w:t>
      </w:r>
      <w:r w:rsidR="003C7B20" w:rsidRPr="00413199">
        <w:t>na podlagi zasebne tožbe</w:t>
      </w:r>
      <w:r w:rsidR="0076508D" w:rsidRPr="00413199">
        <w:t>,</w:t>
      </w:r>
      <w:r w:rsidRPr="00413199">
        <w:t xml:space="preserve"> in ki je bila razglašena </w:t>
      </w:r>
      <w:r w:rsidR="00C449D6" w:rsidRPr="00413199">
        <w:t>na plenarnem zasedanju</w:t>
      </w:r>
      <w:r w:rsidRPr="00413199">
        <w:t xml:space="preserve"> 5. maja 2025,</w:t>
      </w:r>
    </w:p>
    <w:p w14:paraId="1C397A58" w14:textId="387A8A95" w:rsidR="00546D1E" w:rsidRPr="00413199" w:rsidRDefault="00546D1E" w:rsidP="00546D1E">
      <w:pPr>
        <w:pStyle w:val="NormalHanging12a"/>
      </w:pPr>
      <w:r w:rsidRPr="00413199">
        <w:t>–</w:t>
      </w:r>
      <w:r w:rsidRPr="00413199">
        <w:tab/>
        <w:t xml:space="preserve">ob upoštevanju </w:t>
      </w:r>
      <w:r w:rsidR="003C7B20" w:rsidRPr="00413199">
        <w:t>dejstva</w:t>
      </w:r>
      <w:r w:rsidRPr="00413199">
        <w:t>, da se je Péter Magyar odrekel pravici do zagovora v skladu s členom 9(6) Poslovnika,</w:t>
      </w:r>
    </w:p>
    <w:p w14:paraId="641753A4" w14:textId="77777777" w:rsidR="00546D1E" w:rsidRPr="00413199" w:rsidRDefault="00546D1E" w:rsidP="00546D1E">
      <w:pPr>
        <w:pStyle w:val="NormalHanging12a"/>
      </w:pPr>
      <w:r w:rsidRPr="00413199">
        <w:t>–</w:t>
      </w:r>
      <w:r w:rsidRPr="00413199">
        <w:tab/>
        <w:t>ob upoštevanju členov 8 in 9 Protokola št. 7 o privilegijih in imunitetah Evropske unije ter člena 6(2) Akta o volitvah poslancev Evropskega parlamenta s splošnimi neposrednimi volitvami z dne 20. septembra 1976,</w:t>
      </w:r>
    </w:p>
    <w:p w14:paraId="6DF093F7" w14:textId="77777777" w:rsidR="00546D1E" w:rsidRPr="00413199" w:rsidRDefault="00546D1E" w:rsidP="00546D1E">
      <w:pPr>
        <w:pStyle w:val="NormalHanging12a"/>
      </w:pPr>
      <w:r w:rsidRPr="00413199">
        <w:t>–</w:t>
      </w:r>
      <w:r w:rsidRPr="00413199">
        <w:tab/>
        <w:t xml:space="preserve">ob </w:t>
      </w:r>
      <w:r w:rsidRPr="00413199">
        <w:rPr>
          <w:color w:val="000000"/>
          <w:shd w:val="clear" w:color="auto" w:fill="FFFFFF"/>
        </w:rPr>
        <w:t>upoštevanju člena 4(2) madžarske ustave,</w:t>
      </w:r>
    </w:p>
    <w:p w14:paraId="41695F52" w14:textId="77777777" w:rsidR="00546D1E" w:rsidRPr="00413199" w:rsidRDefault="00546D1E" w:rsidP="00546D1E">
      <w:pPr>
        <w:pStyle w:val="NormalHanging12a"/>
        <w:jc w:val="both"/>
      </w:pPr>
      <w:r w:rsidRPr="00413199">
        <w:t>–</w:t>
      </w:r>
      <w:r w:rsidRPr="00413199">
        <w:tab/>
        <w:t>ob upoštevanju sodb Sodišča Evropske unije z dne 21. oktobra 2008, 19. marca 2010, 6. septembra 2011, 17. januarja 2013, 19. decembra 2019 in 5. julija 2023</w:t>
      </w:r>
      <w:r w:rsidRPr="00413199">
        <w:rPr>
          <w:rStyle w:val="FootnoteReference"/>
        </w:rPr>
        <w:footnoteReference w:id="1"/>
      </w:r>
      <w:r w:rsidRPr="00413199">
        <w:t>,</w:t>
      </w:r>
    </w:p>
    <w:p w14:paraId="027A988C" w14:textId="77777777" w:rsidR="00546D1E" w:rsidRPr="00413199" w:rsidRDefault="00546D1E" w:rsidP="00546D1E">
      <w:pPr>
        <w:pStyle w:val="NormalHanging12a"/>
        <w:jc w:val="both"/>
      </w:pPr>
      <w:r w:rsidRPr="00413199">
        <w:t>–</w:t>
      </w:r>
      <w:r w:rsidRPr="00413199">
        <w:tab/>
        <w:t>ob upoštevanju člena 5(2), člena 6(1) in člena 9 Poslovnika,</w:t>
      </w:r>
    </w:p>
    <w:p w14:paraId="343AD879" w14:textId="77777777" w:rsidR="00546D1E" w:rsidRPr="00413199" w:rsidRDefault="00546D1E" w:rsidP="00546D1E">
      <w:pPr>
        <w:pStyle w:val="NormalHanging12a"/>
        <w:jc w:val="both"/>
      </w:pPr>
      <w:r w:rsidRPr="00413199">
        <w:t>–</w:t>
      </w:r>
      <w:r w:rsidRPr="00413199">
        <w:tab/>
        <w:t>ob upoštevanju poročila Odbora za pravne zadeve (A10</w:t>
      </w:r>
      <w:r w:rsidRPr="00413199">
        <w:noBreakHyphen/>
        <w:t>0182/2025),</w:t>
      </w:r>
    </w:p>
    <w:p w14:paraId="508F7AD7" w14:textId="2BFF6BAC" w:rsidR="00546D1E" w:rsidRPr="00413199" w:rsidRDefault="00546D1E" w:rsidP="00546D1E">
      <w:pPr>
        <w:pStyle w:val="NormalHanging12a"/>
        <w:widowControl/>
      </w:pPr>
      <w:r w:rsidRPr="00413199">
        <w:lastRenderedPageBreak/>
        <w:t>A.</w:t>
      </w:r>
      <w:r w:rsidRPr="00413199">
        <w:tab/>
        <w:t xml:space="preserve">ker je </w:t>
      </w:r>
      <w:r w:rsidR="0076508D" w:rsidRPr="00413199">
        <w:t xml:space="preserve">osrednje </w:t>
      </w:r>
      <w:r w:rsidRPr="00413199">
        <w:t xml:space="preserve">okrožno sodišče v Pešti 21. marca 2025 vložilo zahtevo za odvzem imunitete </w:t>
      </w:r>
      <w:r w:rsidR="003C7B20" w:rsidRPr="00413199">
        <w:t xml:space="preserve">poslancu Evropskega parlamenta </w:t>
      </w:r>
      <w:r w:rsidRPr="00413199">
        <w:t>Pétru Magyaru</w:t>
      </w:r>
      <w:r w:rsidR="00EF53DB" w:rsidRPr="00413199">
        <w:t>, izvoljenem na Madžarskem,</w:t>
      </w:r>
      <w:r w:rsidRPr="00413199">
        <w:t xml:space="preserve"> v zvezi z </w:t>
      </w:r>
      <w:r w:rsidR="00EF53DB" w:rsidRPr="00413199">
        <w:t xml:space="preserve">domnevnim </w:t>
      </w:r>
      <w:r w:rsidRPr="00413199">
        <w:t xml:space="preserve">kaznivim dejanjem </w:t>
      </w:r>
      <w:r w:rsidR="0076508D" w:rsidRPr="00B61F64">
        <w:t xml:space="preserve">iz </w:t>
      </w:r>
      <w:r w:rsidR="00EF53DB" w:rsidRPr="00413199">
        <w:t>člen</w:t>
      </w:r>
      <w:r w:rsidR="0076508D" w:rsidRPr="00B61F64">
        <w:t>a</w:t>
      </w:r>
      <w:r w:rsidR="00EF53DB" w:rsidRPr="00413199">
        <w:t> </w:t>
      </w:r>
      <w:r w:rsidRPr="00413199">
        <w:t>226(1) zakona št. C iz leta 2012 o madžarskem kazenskem zakoniku</w:t>
      </w:r>
      <w:r w:rsidR="00EF53DB" w:rsidRPr="00413199">
        <w:t xml:space="preserve"> zaradi </w:t>
      </w:r>
      <w:r w:rsidR="00EF53DB" w:rsidRPr="00413199">
        <w:rPr>
          <w:color w:val="000000"/>
          <w:shd w:val="clear" w:color="auto" w:fill="FFFFFF"/>
        </w:rPr>
        <w:t>dogodkov</w:t>
      </w:r>
      <w:r w:rsidR="003C7B20" w:rsidRPr="00413199">
        <w:rPr>
          <w:color w:val="000000"/>
          <w:shd w:val="clear" w:color="auto" w:fill="FFFFFF"/>
        </w:rPr>
        <w:t xml:space="preserve">, ki so se zgodili </w:t>
      </w:r>
      <w:r w:rsidRPr="00413199">
        <w:rPr>
          <w:color w:val="000000"/>
          <w:shd w:val="clear" w:color="auto" w:fill="FFFFFF"/>
        </w:rPr>
        <w:t>aprila 2024,</w:t>
      </w:r>
      <w:r w:rsidRPr="00413199">
        <w:t xml:space="preserve"> </w:t>
      </w:r>
      <w:r w:rsidR="00EF53DB" w:rsidRPr="00413199">
        <w:t xml:space="preserve">v </w:t>
      </w:r>
      <w:r w:rsidR="008407D2" w:rsidRPr="00413199">
        <w:t>kazensk</w:t>
      </w:r>
      <w:r w:rsidR="0076508D" w:rsidRPr="00413199">
        <w:t>i</w:t>
      </w:r>
      <w:r w:rsidR="008407D2" w:rsidRPr="00413199">
        <w:t xml:space="preserve"> </w:t>
      </w:r>
      <w:r w:rsidR="0076508D" w:rsidRPr="00413199">
        <w:t>zadevi</w:t>
      </w:r>
      <w:r w:rsidR="008407D2" w:rsidRPr="00413199">
        <w:t xml:space="preserve"> </w:t>
      </w:r>
      <w:r w:rsidR="00EF53DB" w:rsidRPr="00413199">
        <w:t>zaradi obrekovanja, ki jo je proti njemu sprožil zasebni tožilec</w:t>
      </w:r>
      <w:r w:rsidRPr="00413199">
        <w:t>;</w:t>
      </w:r>
    </w:p>
    <w:p w14:paraId="2B6875A1" w14:textId="31078CDB" w:rsidR="00546D1E" w:rsidRPr="00413199" w:rsidRDefault="00546D1E" w:rsidP="00546D1E">
      <w:pPr>
        <w:pStyle w:val="NormalHanging12a"/>
        <w:widowControl/>
      </w:pPr>
      <w:r w:rsidRPr="00413199">
        <w:rPr>
          <w:shd w:val="clear" w:color="auto" w:fill="FFFFFF"/>
        </w:rPr>
        <w:t>B.</w:t>
      </w:r>
      <w:r w:rsidRPr="00413199">
        <w:rPr>
          <w:shd w:val="clear" w:color="auto" w:fill="FFFFFF"/>
        </w:rPr>
        <w:tab/>
      </w:r>
      <w:r w:rsidRPr="00413199">
        <w:t xml:space="preserve">ker je </w:t>
      </w:r>
      <w:r w:rsidR="0076508D" w:rsidRPr="00413199">
        <w:t>iz</w:t>
      </w:r>
      <w:r w:rsidRPr="00413199">
        <w:t xml:space="preserve"> zahtev</w:t>
      </w:r>
      <w:r w:rsidR="0076508D" w:rsidRPr="00413199">
        <w:t>e</w:t>
      </w:r>
      <w:r w:rsidRPr="00413199">
        <w:t xml:space="preserve"> za odvzem imunitete </w:t>
      </w:r>
      <w:r w:rsidR="00EF53DB" w:rsidRPr="00413199">
        <w:t>razvidno</w:t>
      </w:r>
      <w:r w:rsidRPr="00413199">
        <w:t xml:space="preserve">, da je Péter Magyar obtožen dajanja lažnih izjav na javni prireditvi in širjenja govoric, ki bi lahko škodovale ugledu političnega gibanja </w:t>
      </w:r>
      <w:r w:rsidRPr="00413199">
        <w:rPr>
          <w:i/>
          <w:iCs/>
        </w:rPr>
        <w:t>Mi Hazánk Mozgalom</w:t>
      </w:r>
      <w:r w:rsidRPr="00413199">
        <w:t xml:space="preserve"> (Gibanje naša domovina) in enega od njegovih podpredsednikov, ki je poslanec </w:t>
      </w:r>
      <w:r w:rsidR="005C22D8">
        <w:t>m</w:t>
      </w:r>
      <w:r w:rsidR="00837F43">
        <w:t>adžarske državne skupščine</w:t>
      </w:r>
      <w:r w:rsidRPr="00413199">
        <w:t>; ker je bil 13. maja 2024 proti Pétru Magyaru sprožen</w:t>
      </w:r>
      <w:r w:rsidR="00EF53DB" w:rsidRPr="00413199">
        <w:t xml:space="preserve"> postopek zasebnega pregona </w:t>
      </w:r>
      <w:r w:rsidRPr="00413199">
        <w:t>na podlagi kazenske ovadbe zaradi obrekovanja;</w:t>
      </w:r>
    </w:p>
    <w:p w14:paraId="61756E10" w14:textId="06E10438" w:rsidR="00546D1E" w:rsidRPr="00413199" w:rsidRDefault="00546D1E" w:rsidP="00546D1E">
      <w:pPr>
        <w:pStyle w:val="NormalHanging12a"/>
        <w:widowControl/>
      </w:pPr>
      <w:r w:rsidRPr="00413199">
        <w:t>C.</w:t>
      </w:r>
      <w:r w:rsidRPr="00413199">
        <w:tab/>
        <w:t xml:space="preserve">ker je bil Péter Magyar </w:t>
      </w:r>
      <w:r w:rsidRPr="00413199">
        <w:rPr>
          <w:shd w:val="clear" w:color="auto" w:fill="FFFFFF"/>
        </w:rPr>
        <w:t>izvoljen na evropskih volitvah junija 2024</w:t>
      </w:r>
      <w:r w:rsidRPr="00413199">
        <w:t xml:space="preserve"> </w:t>
      </w:r>
      <w:r w:rsidRPr="00413199">
        <w:rPr>
          <w:shd w:val="clear" w:color="auto" w:fill="FFFFFF"/>
        </w:rPr>
        <w:t xml:space="preserve">in </w:t>
      </w:r>
      <w:r w:rsidR="00912F42" w:rsidRPr="00413199">
        <w:rPr>
          <w:shd w:val="clear" w:color="auto" w:fill="FFFFFF"/>
        </w:rPr>
        <w:t xml:space="preserve">se je v času, ko </w:t>
      </w:r>
      <w:r w:rsidRPr="00413199">
        <w:rPr>
          <w:shd w:val="clear" w:color="auto" w:fill="FFFFFF"/>
        </w:rPr>
        <w:t>je bil</w:t>
      </w:r>
      <w:r w:rsidR="00912F42" w:rsidRPr="00413199">
        <w:rPr>
          <w:shd w:val="clear" w:color="auto" w:fill="FFFFFF"/>
        </w:rPr>
        <w:t xml:space="preserve">a zoper njega </w:t>
      </w:r>
      <w:r w:rsidR="00E5591D" w:rsidRPr="00413199">
        <w:rPr>
          <w:shd w:val="clear" w:color="auto" w:fill="FFFFFF"/>
        </w:rPr>
        <w:t>podana</w:t>
      </w:r>
      <w:r w:rsidRPr="00413199">
        <w:rPr>
          <w:shd w:val="clear" w:color="auto" w:fill="FFFFFF"/>
        </w:rPr>
        <w:t xml:space="preserve"> </w:t>
      </w:r>
      <w:r w:rsidR="00912F42" w:rsidRPr="00413199">
        <w:rPr>
          <w:shd w:val="clear" w:color="auto" w:fill="FFFFFF"/>
        </w:rPr>
        <w:t xml:space="preserve">kazenska ovadba, zavzemal zato, da bi bil izvoljen </w:t>
      </w:r>
      <w:r w:rsidRPr="00413199">
        <w:rPr>
          <w:shd w:val="clear" w:color="auto" w:fill="FFFFFF"/>
        </w:rPr>
        <w:t>za poslanca Evropskega parlamenta</w:t>
      </w:r>
      <w:r w:rsidRPr="00413199">
        <w:t>;</w:t>
      </w:r>
    </w:p>
    <w:p w14:paraId="710C4E13" w14:textId="016B8395" w:rsidR="00546D1E" w:rsidRPr="00413199" w:rsidRDefault="00546D1E" w:rsidP="00546D1E">
      <w:pPr>
        <w:pStyle w:val="NormalHanging12a"/>
        <w:widowControl/>
      </w:pPr>
      <w:r w:rsidRPr="00413199">
        <w:t>D.</w:t>
      </w:r>
      <w:r w:rsidRPr="00413199">
        <w:tab/>
        <w:t xml:space="preserve">ker </w:t>
      </w:r>
      <w:r w:rsidR="00912F42" w:rsidRPr="00413199">
        <w:t xml:space="preserve">domnevno </w:t>
      </w:r>
      <w:r w:rsidRPr="00413199">
        <w:t>kaznivo dejanje in posledična zahteva za odvzem imunitete nista povezana z mnenjem ali glasom, ki bi ga Péter Magyar izrazil pri opravljanju svojih dolžnosti v smislu člena 8 Protokola št. 7 o privilegijih in imunitetah Evropske unije;</w:t>
      </w:r>
    </w:p>
    <w:p w14:paraId="001C2F2F" w14:textId="0DCE9BE7" w:rsidR="00546D1E" w:rsidRPr="00413199" w:rsidRDefault="00546D1E" w:rsidP="00546D1E">
      <w:pPr>
        <w:pStyle w:val="NormalHanging12a"/>
        <w:widowControl/>
      </w:pPr>
      <w:r w:rsidRPr="00413199">
        <w:t>E.</w:t>
      </w:r>
      <w:r w:rsidRPr="00413199">
        <w:tab/>
        <w:t>ker v skladu s členom 9, prvi odstavek, točka (a), Protokola št. 7 o privilegijih in imunitetah Evropske unije poslanci Evropskega parlamenta na ozemlju svoje države uživajo imunitete, priznane poslancem</w:t>
      </w:r>
      <w:r w:rsidR="00912F42" w:rsidRPr="00413199">
        <w:t xml:space="preserve"> </w:t>
      </w:r>
      <w:r w:rsidRPr="00413199">
        <w:t>parlamenta</w:t>
      </w:r>
      <w:r w:rsidR="00E5591D" w:rsidRPr="00413199">
        <w:t xml:space="preserve"> te države</w:t>
      </w:r>
      <w:r w:rsidRPr="00413199">
        <w:t>;</w:t>
      </w:r>
    </w:p>
    <w:p w14:paraId="544AD05A" w14:textId="2DAC6F02" w:rsidR="00546D1E" w:rsidRPr="00413199" w:rsidRDefault="00546D1E" w:rsidP="00546D1E">
      <w:pPr>
        <w:pStyle w:val="NormalHanging12a"/>
      </w:pPr>
      <w:r w:rsidRPr="00413199">
        <w:t>F.</w:t>
      </w:r>
      <w:r w:rsidRPr="00413199">
        <w:tab/>
        <w:t xml:space="preserve">ker so v skladu s </w:t>
      </w:r>
      <w:r w:rsidRPr="00413199">
        <w:rPr>
          <w:color w:val="000000"/>
          <w:shd w:val="clear" w:color="auto" w:fill="FFFFFF"/>
        </w:rPr>
        <w:t xml:space="preserve">členom 4(2) madžarske ustave poslanci </w:t>
      </w:r>
      <w:r w:rsidR="009E1DF4">
        <w:rPr>
          <w:color w:val="000000"/>
          <w:shd w:val="clear" w:color="auto" w:fill="FFFFFF"/>
        </w:rPr>
        <w:t>m</w:t>
      </w:r>
      <w:r w:rsidRPr="00413199">
        <w:rPr>
          <w:color w:val="000000"/>
          <w:shd w:val="clear" w:color="auto" w:fill="FFFFFF"/>
        </w:rPr>
        <w:t xml:space="preserve">adžarske </w:t>
      </w:r>
      <w:r w:rsidR="00837F43">
        <w:rPr>
          <w:color w:val="000000"/>
          <w:shd w:val="clear" w:color="auto" w:fill="FFFFFF"/>
        </w:rPr>
        <w:t>državne skupščine</w:t>
      </w:r>
      <w:r w:rsidRPr="00413199">
        <w:rPr>
          <w:color w:val="000000"/>
          <w:shd w:val="clear" w:color="auto" w:fill="FFFFFF"/>
        </w:rPr>
        <w:t xml:space="preserve"> upravičeni do poslanske imunitete; ker na podlagi člena 79(2) zakona št. XXXVI iz leta 2012 o državni skupščini</w:t>
      </w:r>
      <w:r w:rsidRPr="00413199">
        <w:t xml:space="preserve"> oseba, ki je </w:t>
      </w:r>
      <w:r w:rsidR="009436E9" w:rsidRPr="00413199">
        <w:t xml:space="preserve">dokončno </w:t>
      </w:r>
      <w:r w:rsidRPr="00413199">
        <w:t>in zavezujoče registrirana kot kandidat, uživa enako</w:t>
      </w:r>
      <w:r w:rsidR="00413199">
        <w:t xml:space="preserve"> </w:t>
      </w:r>
      <w:r w:rsidRPr="00413199">
        <w:t xml:space="preserve">imuniteto, dokler izid volitev ne postane dokončen in zavezujoč, in ker poslanci na podlagi člena 79(1) istega zakona v vsakem primeru uživajo imuniteto od dneva izvolitve; </w:t>
      </w:r>
      <w:r w:rsidRPr="00413199">
        <w:rPr>
          <w:color w:val="000000"/>
          <w:shd w:val="clear" w:color="auto" w:fill="FFFFFF"/>
        </w:rPr>
        <w:t xml:space="preserve">ker se na podlagi člena 74(1) zakona št. XXXVI iz leta 2012 o državni skupščini kazenski postopek ali, v primeru zavrnitve prostovoljne odpovedi imuniteti v zadevnem primeru, prekrškovni postopek ne sme začeti ali nadaljevati, za poslanca pa </w:t>
      </w:r>
      <w:r w:rsidR="009436E9" w:rsidRPr="00413199">
        <w:rPr>
          <w:color w:val="000000"/>
          <w:shd w:val="clear" w:color="auto" w:fill="FFFFFF"/>
        </w:rPr>
        <w:t xml:space="preserve">se </w:t>
      </w:r>
      <w:r w:rsidRPr="00413199">
        <w:rPr>
          <w:color w:val="000000"/>
          <w:shd w:val="clear" w:color="auto" w:fill="FFFFFF"/>
        </w:rPr>
        <w:t xml:space="preserve">ne smejo </w:t>
      </w:r>
      <w:r w:rsidR="009436E9" w:rsidRPr="00413199">
        <w:rPr>
          <w:color w:val="000000"/>
          <w:shd w:val="clear" w:color="auto" w:fill="FFFFFF"/>
        </w:rPr>
        <w:t xml:space="preserve">uporabiti </w:t>
      </w:r>
      <w:r w:rsidR="00912F42" w:rsidRPr="00413199">
        <w:rPr>
          <w:color w:val="000000"/>
          <w:shd w:val="clear" w:color="auto" w:fill="FFFFFF"/>
        </w:rPr>
        <w:t>prisilni</w:t>
      </w:r>
      <w:r w:rsidRPr="00413199">
        <w:rPr>
          <w:color w:val="000000"/>
          <w:shd w:val="clear" w:color="auto" w:fill="FFFFFF"/>
        </w:rPr>
        <w:t xml:space="preserve"> ukrepi</w:t>
      </w:r>
      <w:r w:rsidR="00912F42" w:rsidRPr="00413199">
        <w:rPr>
          <w:color w:val="000000"/>
          <w:shd w:val="clear" w:color="auto" w:fill="FFFFFF"/>
        </w:rPr>
        <w:t xml:space="preserve"> v </w:t>
      </w:r>
      <w:r w:rsidR="009436E9" w:rsidRPr="00413199">
        <w:rPr>
          <w:color w:val="000000"/>
          <w:shd w:val="clear" w:color="auto" w:fill="FFFFFF"/>
        </w:rPr>
        <w:t xml:space="preserve">okviru </w:t>
      </w:r>
      <w:r w:rsidR="00912F42" w:rsidRPr="00413199">
        <w:rPr>
          <w:color w:val="000000"/>
          <w:shd w:val="clear" w:color="auto" w:fill="FFFFFF"/>
        </w:rPr>
        <w:t>kazenske</w:t>
      </w:r>
      <w:r w:rsidR="009436E9" w:rsidRPr="00413199">
        <w:rPr>
          <w:color w:val="000000"/>
          <w:shd w:val="clear" w:color="auto" w:fill="FFFFFF"/>
        </w:rPr>
        <w:t>ga</w:t>
      </w:r>
      <w:r w:rsidR="00912F42" w:rsidRPr="00413199">
        <w:rPr>
          <w:color w:val="000000"/>
          <w:shd w:val="clear" w:color="auto" w:fill="FFFFFF"/>
        </w:rPr>
        <w:t xml:space="preserve"> postopk</w:t>
      </w:r>
      <w:r w:rsidR="009436E9" w:rsidRPr="00413199">
        <w:rPr>
          <w:color w:val="000000"/>
          <w:shd w:val="clear" w:color="auto" w:fill="FFFFFF"/>
        </w:rPr>
        <w:t>a</w:t>
      </w:r>
      <w:r w:rsidRPr="00413199">
        <w:rPr>
          <w:color w:val="000000"/>
          <w:shd w:val="clear" w:color="auto" w:fill="FFFFFF"/>
        </w:rPr>
        <w:t xml:space="preserve"> brez predhodnega soglasja državne skupščine;</w:t>
      </w:r>
    </w:p>
    <w:p w14:paraId="67027E65" w14:textId="1E37631B" w:rsidR="003C7B20" w:rsidRPr="00413199" w:rsidRDefault="003C7B20" w:rsidP="003C7B20">
      <w:pPr>
        <w:pStyle w:val="NormalHanging12a"/>
        <w:widowControl/>
      </w:pPr>
      <w:r w:rsidRPr="00413199">
        <w:t>G.</w:t>
      </w:r>
      <w:r w:rsidRPr="00413199">
        <w:tab/>
        <w:t xml:space="preserve">ker v skladu s členom 5(2) Poslovnika parlamentarna imuniteta ni osebni privilegij poslanca, temveč je jamstvo neodvisnosti </w:t>
      </w:r>
      <w:r w:rsidR="005C58F8" w:rsidRPr="00413199">
        <w:t>Evropskega p</w:t>
      </w:r>
      <w:r w:rsidRPr="00413199">
        <w:t>arlamenta kot celote in njegovih poslancev;</w:t>
      </w:r>
    </w:p>
    <w:p w14:paraId="5527E1F7" w14:textId="6A5E1C53" w:rsidR="00546D1E" w:rsidRPr="00413199" w:rsidRDefault="003C7B20" w:rsidP="00546D1E">
      <w:pPr>
        <w:pStyle w:val="NormalHanging12a"/>
        <w:widowControl/>
      </w:pPr>
      <w:r w:rsidRPr="00413199">
        <w:t>H</w:t>
      </w:r>
      <w:r w:rsidR="00546D1E" w:rsidRPr="00413199">
        <w:t>.</w:t>
      </w:r>
      <w:r w:rsidR="00546D1E" w:rsidRPr="00413199">
        <w:tab/>
        <w:t>ker je namen imunitete</w:t>
      </w:r>
      <w:r w:rsidR="00912F42" w:rsidRPr="00413199">
        <w:t xml:space="preserve"> iz Protokola št. 7 o privilegijih in imunitetah Evropske unije</w:t>
      </w:r>
      <w:r w:rsidR="00546D1E" w:rsidRPr="00413199">
        <w:t xml:space="preserve"> zaščititi Parlament in njegove poslance pred sodnimi postopki v zvezi z dejavnostmi</w:t>
      </w:r>
      <w:r w:rsidR="00912F42" w:rsidRPr="00413199">
        <w:t>, ki jih izvajajo pri opravljanju p</w:t>
      </w:r>
      <w:r w:rsidR="00546D1E" w:rsidRPr="00413199">
        <w:t>arlamentarnih dolžnosti</w:t>
      </w:r>
      <w:r w:rsidR="00DF6E22" w:rsidRPr="00413199">
        <w:t xml:space="preserve"> in jih </w:t>
      </w:r>
      <w:r w:rsidR="00546D1E" w:rsidRPr="00413199">
        <w:t>ni mogoče ločiti</w:t>
      </w:r>
      <w:r w:rsidR="00DF6E22" w:rsidRPr="00413199">
        <w:t xml:space="preserve"> od </w:t>
      </w:r>
      <w:r w:rsidR="00C17ABB">
        <w:t>teh dolžnosti</w:t>
      </w:r>
      <w:r w:rsidR="00546D1E" w:rsidRPr="00413199">
        <w:t>;</w:t>
      </w:r>
    </w:p>
    <w:p w14:paraId="0FF35F48" w14:textId="77777777" w:rsidR="00546D1E" w:rsidRPr="00413199" w:rsidRDefault="00546D1E" w:rsidP="00546D1E">
      <w:pPr>
        <w:pStyle w:val="NormalHanging12a"/>
      </w:pPr>
      <w:r w:rsidRPr="00413199">
        <w:t>I.</w:t>
      </w:r>
      <w:r w:rsidRPr="00413199">
        <w:tab/>
        <w:t>ker ima v skladu s sodno prakso Sodišča Evropske unije Parlament „[zelo] široko diskrecijsko pravico glede usmeritve odločitve v zvezi z zahtevo za odvzem [...] imunitete, saj je taka odločitev politična“</w:t>
      </w:r>
      <w:r w:rsidRPr="00413199">
        <w:rPr>
          <w:vertAlign w:val="superscript"/>
        </w:rPr>
        <w:footnoteReference w:id="2"/>
      </w:r>
      <w:r w:rsidRPr="00413199">
        <w:t>;</w:t>
      </w:r>
    </w:p>
    <w:p w14:paraId="069B12EB" w14:textId="1926768A" w:rsidR="00546D1E" w:rsidRPr="00413199" w:rsidRDefault="00546D1E" w:rsidP="00546D1E">
      <w:pPr>
        <w:pStyle w:val="NormalHanging12a"/>
        <w:widowControl/>
      </w:pPr>
      <w:r w:rsidRPr="00413199">
        <w:lastRenderedPageBreak/>
        <w:t>J.</w:t>
      </w:r>
      <w:r w:rsidRPr="00413199">
        <w:tab/>
      </w:r>
      <w:r w:rsidRPr="00413199">
        <w:rPr>
          <w:rStyle w:val="doceo-font-family-base"/>
          <w:color w:val="1E1E1F"/>
        </w:rPr>
        <w:t>ker je Péter Magyar</w:t>
      </w:r>
      <w:r w:rsidRPr="00413199">
        <w:t xml:space="preserve"> predsednik stranke Tisza (</w:t>
      </w:r>
      <w:r w:rsidRPr="00413199">
        <w:rPr>
          <w:i/>
          <w:iCs/>
        </w:rPr>
        <w:t>Tisztelet és Szabadság Párt</w:t>
      </w:r>
      <w:r w:rsidRPr="00413199">
        <w:t>) in ker je bil vodilni na listi kandidatov te stranke za evropske volitve leta 2024</w:t>
      </w:r>
      <w:r w:rsidRPr="00413199">
        <w:rPr>
          <w:rStyle w:val="doceo-font-family-base"/>
          <w:color w:val="1E1E1F"/>
        </w:rPr>
        <w:t xml:space="preserve">; </w:t>
      </w:r>
      <w:r w:rsidRPr="00413199">
        <w:t xml:space="preserve">ker je tudi </w:t>
      </w:r>
      <w:r w:rsidRPr="00413199">
        <w:rPr>
          <w:i/>
          <w:iCs/>
        </w:rPr>
        <w:t>Mi Hazánk Mozgalom</w:t>
      </w:r>
      <w:r w:rsidRPr="00413199">
        <w:t xml:space="preserve"> sodelovalo na evropskih volitvah leta 2024, zato ga je mogoče šteti za neposrednega političnega konkurenta </w:t>
      </w:r>
      <w:r w:rsidRPr="00413199">
        <w:rPr>
          <w:rStyle w:val="doceo-font-family-base"/>
          <w:color w:val="1E1E1F"/>
        </w:rPr>
        <w:t>Pétra Magyara</w:t>
      </w:r>
      <w:r w:rsidRPr="00413199">
        <w:t>; ker so politični konkurenti v politični razpravi v primerjavi z državljani, ki niso politično dejavni, običajno deležni več kritik in polemik</w:t>
      </w:r>
      <w:r w:rsidRPr="00413199">
        <w:rPr>
          <w:rStyle w:val="doceo-font-family-base"/>
          <w:color w:val="1E1E1F"/>
        </w:rPr>
        <w:t xml:space="preserve">; ker se zdi, da se </w:t>
      </w:r>
      <w:r w:rsidR="002B734C" w:rsidRPr="00413199">
        <w:rPr>
          <w:rStyle w:val="doceo-font-family-base"/>
          <w:color w:val="1E1E1F"/>
        </w:rPr>
        <w:t>na podlagi</w:t>
      </w:r>
      <w:r w:rsidRPr="00413199">
        <w:rPr>
          <w:rStyle w:val="doceo-font-family-base"/>
          <w:color w:val="1E1E1F"/>
        </w:rPr>
        <w:t xml:space="preserve"> </w:t>
      </w:r>
      <w:r w:rsidR="002B734C" w:rsidRPr="00413199">
        <w:rPr>
          <w:rStyle w:val="doceo-font-family-base"/>
          <w:color w:val="1E1E1F"/>
        </w:rPr>
        <w:t xml:space="preserve">madžarskega prava </w:t>
      </w:r>
      <w:r w:rsidR="005C58F8" w:rsidRPr="00413199">
        <w:rPr>
          <w:rStyle w:val="doceo-font-family-base"/>
          <w:color w:val="1E1E1F"/>
        </w:rPr>
        <w:t>zahtevki</w:t>
      </w:r>
      <w:r w:rsidR="009436E9" w:rsidRPr="00413199">
        <w:rPr>
          <w:rStyle w:val="doceo-font-family-base"/>
          <w:color w:val="1E1E1F"/>
        </w:rPr>
        <w:t xml:space="preserve"> </w:t>
      </w:r>
      <w:r w:rsidRPr="00413199">
        <w:rPr>
          <w:rStyle w:val="doceo-font-family-base"/>
          <w:color w:val="1E1E1F"/>
        </w:rPr>
        <w:t xml:space="preserve">zaradi obrekovanja lahko </w:t>
      </w:r>
      <w:r w:rsidR="005C58F8" w:rsidRPr="00413199">
        <w:rPr>
          <w:rStyle w:val="doceo-font-family-base"/>
          <w:color w:val="1E1E1F"/>
        </w:rPr>
        <w:t>vložijo</w:t>
      </w:r>
      <w:r w:rsidR="009436E9" w:rsidRPr="00413199">
        <w:rPr>
          <w:rStyle w:val="doceo-font-family-base"/>
          <w:color w:val="1E1E1F"/>
        </w:rPr>
        <w:t xml:space="preserve"> </w:t>
      </w:r>
      <w:r w:rsidR="002B734C" w:rsidRPr="00413199">
        <w:rPr>
          <w:rStyle w:val="doceo-font-family-base"/>
          <w:color w:val="1E1E1F"/>
        </w:rPr>
        <w:t>tako na podlagi kazenskega prava kot na podlagi</w:t>
      </w:r>
      <w:r w:rsidRPr="00413199">
        <w:rPr>
          <w:rStyle w:val="doceo-font-family-base"/>
          <w:color w:val="1E1E1F"/>
        </w:rPr>
        <w:t xml:space="preserve"> </w:t>
      </w:r>
      <w:r w:rsidR="002B734C" w:rsidRPr="00413199">
        <w:rPr>
          <w:rStyle w:val="doceo-font-family-base"/>
          <w:color w:val="1E1E1F"/>
        </w:rPr>
        <w:t>civilnega prava</w:t>
      </w:r>
      <w:r w:rsidRPr="00413199">
        <w:rPr>
          <w:rStyle w:val="doceo-font-family-base"/>
          <w:color w:val="1E1E1F"/>
        </w:rPr>
        <w:t xml:space="preserve"> </w:t>
      </w:r>
      <w:bookmarkStart w:id="8" w:name="_Hlk210723572"/>
      <w:r w:rsidRPr="00413199">
        <w:rPr>
          <w:rStyle w:val="doceo-font-family-base"/>
          <w:color w:val="1E1E1F"/>
        </w:rPr>
        <w:t>z zelo različnimi pravnimi posledicami, vključno z zaporno kaznijo</w:t>
      </w:r>
      <w:bookmarkEnd w:id="8"/>
      <w:r w:rsidRPr="00413199">
        <w:rPr>
          <w:rStyle w:val="doceo-font-family-base"/>
          <w:color w:val="1E1E1F"/>
        </w:rPr>
        <w:t>; ker v tem primeru izbira kazenskega pregona vzbuja dvome o njegovem namenu, ki morda presega legitimni cilj odprave zatrjevane škode, in nakazuje, da zastavljeni cilj presega ta legitimni cilj ter dejansko poskuša škodovati ugledu Pétra Magyara pri opravljanju funkcije poslanca Evropskega parlamenta;</w:t>
      </w:r>
    </w:p>
    <w:p w14:paraId="063178F9" w14:textId="1AF17FD6" w:rsidR="00546D1E" w:rsidRPr="00127AF1" w:rsidRDefault="00546D1E" w:rsidP="00546D1E">
      <w:pPr>
        <w:pStyle w:val="doceo-line-height-base"/>
        <w:shd w:val="clear" w:color="auto" w:fill="FFFFFF"/>
        <w:spacing w:before="0" w:beforeAutospacing="0" w:after="240" w:afterAutospacing="0"/>
        <w:ind w:left="567" w:hanging="567"/>
        <w:rPr>
          <w:rStyle w:val="doceo-font-family-base"/>
          <w:szCs w:val="20"/>
        </w:rPr>
      </w:pPr>
      <w:r w:rsidRPr="00413199">
        <w:rPr>
          <w:rStyle w:val="doceo-font-family-base"/>
          <w:color w:val="1E1E1F"/>
        </w:rPr>
        <w:t>K.</w:t>
      </w:r>
      <w:r w:rsidRPr="00413199">
        <w:rPr>
          <w:rStyle w:val="doceo-font-family-base"/>
          <w:color w:val="1E1E1F"/>
        </w:rPr>
        <w:tab/>
        <w:t>ker zgoraj navedeni elementi vzbujajo resn</w:t>
      </w:r>
      <w:r w:rsidR="005C58F8" w:rsidRPr="00413199">
        <w:rPr>
          <w:rStyle w:val="doceo-font-family-base"/>
          <w:color w:val="1E1E1F"/>
        </w:rPr>
        <w:t>o</w:t>
      </w:r>
      <w:r w:rsidRPr="00413199">
        <w:rPr>
          <w:rStyle w:val="doceo-font-family-base"/>
          <w:color w:val="1E1E1F"/>
        </w:rPr>
        <w:t xml:space="preserve"> </w:t>
      </w:r>
      <w:r w:rsidR="005C58F8" w:rsidRPr="00413199">
        <w:rPr>
          <w:rStyle w:val="doceo-font-family-base"/>
          <w:color w:val="1E1E1F"/>
        </w:rPr>
        <w:t>zaskrbljenost glede</w:t>
      </w:r>
      <w:r w:rsidRPr="00413199">
        <w:rPr>
          <w:rStyle w:val="doceo-font-family-base"/>
          <w:color w:val="1E1E1F"/>
        </w:rPr>
        <w:t xml:space="preserve"> morebitne</w:t>
      </w:r>
      <w:r w:rsidR="005C58F8" w:rsidRPr="00413199">
        <w:rPr>
          <w:rStyle w:val="doceo-font-family-base"/>
          <w:color w:val="1E1E1F"/>
        </w:rPr>
        <w:t>ga</w:t>
      </w:r>
      <w:r w:rsidRPr="00413199">
        <w:rPr>
          <w:rStyle w:val="doceo-font-family-base"/>
          <w:color w:val="1E1E1F"/>
        </w:rPr>
        <w:t xml:space="preserve"> namen</w:t>
      </w:r>
      <w:r w:rsidR="005C58F8" w:rsidRPr="00413199">
        <w:rPr>
          <w:rStyle w:val="doceo-font-family-base"/>
          <w:color w:val="1E1E1F"/>
        </w:rPr>
        <w:t>a</w:t>
      </w:r>
      <w:r w:rsidRPr="00413199">
        <w:rPr>
          <w:rStyle w:val="doceo-font-family-base"/>
          <w:color w:val="1E1E1F"/>
        </w:rPr>
        <w:t xml:space="preserve"> škodovati politični dejavnosti</w:t>
      </w:r>
      <w:r w:rsidRPr="00413199">
        <w:t xml:space="preserve"> Pétra Magyara </w:t>
      </w:r>
      <w:r w:rsidRPr="00413199">
        <w:rPr>
          <w:rStyle w:val="doceo-font-family-base"/>
          <w:color w:val="1E1E1F"/>
        </w:rPr>
        <w:t>in zlasti njegovi dejavnosti v vlogi poslanca Evropskega parlamenta;</w:t>
      </w:r>
    </w:p>
    <w:p w14:paraId="32FA9364" w14:textId="5612BA31" w:rsidR="00546D1E" w:rsidRPr="00127AF1" w:rsidRDefault="00546D1E" w:rsidP="00546D1E">
      <w:pPr>
        <w:pStyle w:val="doceo-line-height-base"/>
        <w:shd w:val="clear" w:color="auto" w:fill="FFFFFF"/>
        <w:spacing w:before="0" w:beforeAutospacing="0" w:after="240" w:afterAutospacing="0"/>
        <w:ind w:left="567" w:hanging="567"/>
        <w:rPr>
          <w:rStyle w:val="doceo-font-family-base"/>
          <w:szCs w:val="20"/>
        </w:rPr>
      </w:pPr>
      <w:r w:rsidRPr="00413199">
        <w:rPr>
          <w:rStyle w:val="doceo-font-family-base"/>
          <w:color w:val="1E1E1F"/>
        </w:rPr>
        <w:t>L.</w:t>
      </w:r>
      <w:r w:rsidRPr="00413199">
        <w:rPr>
          <w:rStyle w:val="doceo-font-family-base"/>
          <w:rFonts w:ascii="Helvetica" w:hAnsi="Helvetica"/>
          <w:color w:val="1E1E1F"/>
        </w:rPr>
        <w:tab/>
      </w:r>
      <w:r w:rsidRPr="00413199">
        <w:rPr>
          <w:rStyle w:val="doceo-font-family-base"/>
          <w:color w:val="1E1E1F"/>
        </w:rPr>
        <w:t>ker se zato zdi, da gre za zadevo, v kateri je mogoče domnevati, da je podan primer</w:t>
      </w:r>
      <w:r w:rsidRPr="00413199">
        <w:rPr>
          <w:color w:val="1E1E1F"/>
        </w:rPr>
        <w:t xml:space="preserve"> </w:t>
      </w:r>
      <w:r w:rsidRPr="00413199">
        <w:rPr>
          <w:i/>
          <w:iCs/>
          <w:color w:val="1E1E1F"/>
        </w:rPr>
        <w:t>fumus persecutionis</w:t>
      </w:r>
      <w:r w:rsidRPr="00413199">
        <w:rPr>
          <w:color w:val="1E1E1F"/>
        </w:rPr>
        <w:t>, tj. „konkretni</w:t>
      </w:r>
      <w:r w:rsidR="00D130A3" w:rsidRPr="00413199">
        <w:rPr>
          <w:color w:val="1E1E1F"/>
        </w:rPr>
        <w:t>h</w:t>
      </w:r>
      <w:r w:rsidRPr="00413199">
        <w:rPr>
          <w:color w:val="1E1E1F"/>
        </w:rPr>
        <w:t xml:space="preserve"> </w:t>
      </w:r>
      <w:r w:rsidR="00D130A3" w:rsidRPr="00413199">
        <w:rPr>
          <w:color w:val="1E1E1F"/>
        </w:rPr>
        <w:t>elementov</w:t>
      </w:r>
      <w:r w:rsidRPr="00413199">
        <w:rPr>
          <w:color w:val="1E1E1F"/>
        </w:rPr>
        <w:t>“</w:t>
      </w:r>
      <w:r w:rsidRPr="00413199">
        <w:rPr>
          <w:rStyle w:val="FootnoteReference"/>
          <w:color w:val="1E1E1F"/>
        </w:rPr>
        <w:footnoteReference w:id="3"/>
      </w:r>
      <w:r w:rsidRPr="00413199">
        <w:rPr>
          <w:color w:val="1E1E1F"/>
        </w:rPr>
        <w:t>,</w:t>
      </w:r>
      <w:r w:rsidRPr="00B61F64">
        <w:rPr>
          <w:rStyle w:val="doceo-font-family-base"/>
        </w:rPr>
        <w:t xml:space="preserve"> </w:t>
      </w:r>
      <w:r w:rsidR="00D130A3" w:rsidRPr="00B61F64">
        <w:rPr>
          <w:rStyle w:val="doceo-font-family-base"/>
          <w:color w:val="1E1E1F"/>
        </w:rPr>
        <w:t xml:space="preserve">ki kažejo, </w:t>
      </w:r>
      <w:r w:rsidRPr="00413199">
        <w:rPr>
          <w:rStyle w:val="doceo-font-family-base"/>
          <w:color w:val="1E1E1F"/>
        </w:rPr>
        <w:t xml:space="preserve">da bi lahko bil namen </w:t>
      </w:r>
      <w:r w:rsidR="00D130A3" w:rsidRPr="00413199">
        <w:rPr>
          <w:rStyle w:val="doceo-font-family-base"/>
          <w:color w:val="1E1E1F"/>
        </w:rPr>
        <w:t xml:space="preserve">zadevnega </w:t>
      </w:r>
      <w:r w:rsidRPr="00413199">
        <w:rPr>
          <w:rStyle w:val="doceo-font-family-base"/>
          <w:color w:val="1E1E1F"/>
        </w:rPr>
        <w:t>sodnega postopka z zahtevo, da se</w:t>
      </w:r>
      <w:r w:rsidRPr="00413199">
        <w:t xml:space="preserve"> Pétru Magyaru </w:t>
      </w:r>
      <w:r w:rsidRPr="00413199">
        <w:rPr>
          <w:rStyle w:val="doceo-font-family-base"/>
          <w:color w:val="1E1E1F"/>
        </w:rPr>
        <w:t>odvzame imuniteta, škodovati njegovi politični dejavnosti, zlasti v času, ko je bil na evropskih volitvah leta 2024 nosilec liste svoje politične stranke</w:t>
      </w:r>
      <w:r w:rsidRPr="00127AF1">
        <w:rPr>
          <w:rStyle w:val="doceo-font-family-base"/>
          <w:szCs w:val="20"/>
        </w:rPr>
        <w:t>;</w:t>
      </w:r>
    </w:p>
    <w:p w14:paraId="51F5403D" w14:textId="77777777" w:rsidR="00546D1E" w:rsidRPr="00413199" w:rsidRDefault="00546D1E" w:rsidP="00546D1E">
      <w:pPr>
        <w:pStyle w:val="NormalHanging12a"/>
        <w:widowControl/>
      </w:pPr>
      <w:r w:rsidRPr="00413199">
        <w:t>M.</w:t>
      </w:r>
      <w:r w:rsidRPr="00413199">
        <w:tab/>
        <w:t>ker Parlamenta ni mogoče enačiti s sodiščem in ker poslanec v zvezi s postopkom za odvzem imunitete ne sme biti obravnavan kot „obtoženec“</w:t>
      </w:r>
      <w:r w:rsidRPr="00413199">
        <w:rPr>
          <w:vertAlign w:val="superscript"/>
        </w:rPr>
        <w:footnoteReference w:id="4"/>
      </w:r>
      <w:r w:rsidRPr="00413199">
        <w:t>;</w:t>
      </w:r>
    </w:p>
    <w:p w14:paraId="48AE46FE" w14:textId="77777777" w:rsidR="00546D1E" w:rsidRPr="00413199" w:rsidRDefault="00546D1E" w:rsidP="00546D1E">
      <w:pPr>
        <w:pStyle w:val="NormalHanging12a"/>
        <w:jc w:val="both"/>
      </w:pPr>
      <w:r w:rsidRPr="00413199">
        <w:t>1.</w:t>
      </w:r>
      <w:r w:rsidRPr="00413199">
        <w:tab/>
        <w:t>sklene, da se Pétru Magyaru imuniteta ne odvzame;</w:t>
      </w:r>
    </w:p>
    <w:p w14:paraId="066F6175" w14:textId="61505234" w:rsidR="00E365E1" w:rsidRPr="00AB4195" w:rsidRDefault="00546D1E" w:rsidP="00D130A3">
      <w:pPr>
        <w:pStyle w:val="NormalHanging12a"/>
        <w:jc w:val="both"/>
      </w:pPr>
      <w:r w:rsidRPr="00413199">
        <w:t>2.</w:t>
      </w:r>
      <w:r w:rsidRPr="00413199">
        <w:tab/>
        <w:t xml:space="preserve">naroči svoji predsednici, naj ta sklep in poročilo pristojnega odbora nemudoma posreduje pristojnim organom </w:t>
      </w:r>
      <w:r w:rsidR="00C17ABB">
        <w:t xml:space="preserve">Madžarske </w:t>
      </w:r>
      <w:r w:rsidRPr="00413199">
        <w:t xml:space="preserve">in Pétru </w:t>
      </w:r>
      <w:proofErr w:type="spellStart"/>
      <w:r w:rsidRPr="00413199">
        <w:t>Magyaru</w:t>
      </w:r>
      <w:proofErr w:type="spellEnd"/>
      <w:r w:rsidRPr="00413199">
        <w:t>.</w:t>
      </w:r>
    </w:p>
    <w:sectPr w:rsidR="00E365E1" w:rsidRPr="00AB4195" w:rsidSect="00AB41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65331" w14:textId="77777777" w:rsidR="00111CE2" w:rsidRPr="00AB4195" w:rsidRDefault="00111CE2">
      <w:r w:rsidRPr="00AB4195">
        <w:separator/>
      </w:r>
    </w:p>
  </w:endnote>
  <w:endnote w:type="continuationSeparator" w:id="0">
    <w:p w14:paraId="3FFF720E" w14:textId="77777777" w:rsidR="00111CE2" w:rsidRPr="00AB4195" w:rsidRDefault="00111CE2">
      <w:r w:rsidRPr="00AB41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AB2E" w14:textId="77777777" w:rsidR="00064002" w:rsidRPr="00AB41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5C38A" w14:textId="77777777" w:rsidR="00064002" w:rsidRPr="00AB41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A3C6A" w14:textId="77777777" w:rsidR="00064002" w:rsidRPr="00AB41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C0974" w14:textId="77777777" w:rsidR="00111CE2" w:rsidRPr="00AB4195" w:rsidRDefault="00111CE2">
      <w:r w:rsidRPr="00AB4195">
        <w:separator/>
      </w:r>
    </w:p>
  </w:footnote>
  <w:footnote w:type="continuationSeparator" w:id="0">
    <w:p w14:paraId="1FFC9F23" w14:textId="77777777" w:rsidR="00111CE2" w:rsidRPr="00AB4195" w:rsidRDefault="00111CE2">
      <w:r w:rsidRPr="00AB4195">
        <w:continuationSeparator/>
      </w:r>
    </w:p>
  </w:footnote>
  <w:footnote w:id="1">
    <w:p w14:paraId="7D6ADDC0" w14:textId="451EA656" w:rsidR="00546D1E" w:rsidRPr="00AB4195" w:rsidRDefault="00546D1E" w:rsidP="00AB4195">
      <w:pPr>
        <w:pStyle w:val="FootnoteText"/>
        <w:ind w:left="567" w:hanging="567"/>
        <w:rPr>
          <w:sz w:val="24"/>
          <w:lang w:val="sl-SI"/>
        </w:rPr>
      </w:pPr>
      <w:r w:rsidRPr="00AB4195">
        <w:rPr>
          <w:rStyle w:val="FootnoteReference"/>
          <w:sz w:val="24"/>
          <w:lang w:val="sl-SI"/>
        </w:rPr>
        <w:footnoteRef/>
      </w:r>
      <w:r w:rsidR="00AB4195" w:rsidRPr="00AB4195">
        <w:rPr>
          <w:sz w:val="24"/>
          <w:lang w:val="sl-SI"/>
        </w:rPr>
        <w:t xml:space="preserve"> </w:t>
      </w:r>
      <w:r w:rsidR="00AB4195" w:rsidRPr="00AB4195">
        <w:rPr>
          <w:sz w:val="24"/>
          <w:lang w:val="sl-SI"/>
        </w:rPr>
        <w:tab/>
      </w:r>
      <w:r w:rsidRPr="00AB4195">
        <w:rPr>
          <w:sz w:val="24"/>
          <w:lang w:val="sl-SI"/>
        </w:rPr>
        <w:t>Sodba Sodišča z dne 21. oktobra 2008, Marra/De Gregorio in Clemente, C-200/07 in C-201/07, ECLI</w:t>
      </w:r>
      <w:proofErr w:type="gramStart"/>
      <w:r w:rsidRPr="00AB4195">
        <w:rPr>
          <w:sz w:val="24"/>
          <w:lang w:val="sl-SI"/>
        </w:rPr>
        <w:t>:</w:t>
      </w:r>
      <w:proofErr w:type="gramEnd"/>
      <w:r w:rsidRPr="00AB4195">
        <w:rPr>
          <w:sz w:val="24"/>
          <w:lang w:val="sl-SI"/>
        </w:rPr>
        <w:t xml:space="preserve">EU:C:2008:579; sodba Splošnega sodišča z dne 19. marca 2010, Gollnisch/Parlament, T-42/06, ECLI:EU:T:2010:102; sodba Sodišča z dne 6. septembra 2011 v zadevi Patriciello, C-163/10, ECLI:EU:C:2011:543; sodba Splošnega sodišča z dne 17. januarja 2013, Gollnisch/Parlament, T-346/11 in T-347/11, ECLI:EU:T:2013:23; sodba Sodišča z dne 19. decembra 2019, Junqueras Vies, C-502/19, ECLI:EU:C:2019:1115; in sodba Splošnega sodišča z dne </w:t>
      </w:r>
      <w:r w:rsidR="00CA7F55">
        <w:rPr>
          <w:sz w:val="24"/>
          <w:lang w:val="sl-SI"/>
        </w:rPr>
        <w:t>5</w:t>
      </w:r>
      <w:r w:rsidRPr="00AB4195">
        <w:rPr>
          <w:sz w:val="24"/>
          <w:lang w:val="sl-SI"/>
        </w:rPr>
        <w:t>. </w:t>
      </w:r>
      <w:r w:rsidR="00CA7F55">
        <w:rPr>
          <w:sz w:val="24"/>
          <w:lang w:val="sl-SI"/>
        </w:rPr>
        <w:t>julija</w:t>
      </w:r>
      <w:r w:rsidRPr="00AB4195">
        <w:rPr>
          <w:sz w:val="24"/>
          <w:lang w:val="sl-SI"/>
        </w:rPr>
        <w:t> 2023, Puigdemont i Casamajó in drugi/Parlament, T-272/21, ECLI:EU:T:2010:373.</w:t>
      </w:r>
    </w:p>
  </w:footnote>
  <w:footnote w:id="2">
    <w:p w14:paraId="07CA09F0" w14:textId="65F07C82" w:rsidR="00546D1E" w:rsidRPr="00AB4195" w:rsidRDefault="00546D1E" w:rsidP="00AB4195">
      <w:pPr>
        <w:pStyle w:val="FootnoteText"/>
        <w:ind w:left="567" w:hanging="567"/>
        <w:rPr>
          <w:sz w:val="24"/>
          <w:lang w:val="sl-SI"/>
        </w:rPr>
      </w:pPr>
      <w:r w:rsidRPr="00AB4195">
        <w:rPr>
          <w:rStyle w:val="FootnoteReference"/>
          <w:sz w:val="24"/>
          <w:lang w:val="sl-SI"/>
        </w:rPr>
        <w:footnoteRef/>
      </w:r>
      <w:r w:rsidR="00AB4195" w:rsidRPr="00AB4195">
        <w:rPr>
          <w:sz w:val="24"/>
          <w:lang w:val="sl-SI"/>
        </w:rPr>
        <w:t xml:space="preserve"> </w:t>
      </w:r>
      <w:r w:rsidR="00AB4195" w:rsidRPr="00AB4195">
        <w:rPr>
          <w:sz w:val="24"/>
          <w:lang w:val="sl-SI"/>
        </w:rPr>
        <w:tab/>
      </w:r>
      <w:r w:rsidRPr="00AB4195">
        <w:rPr>
          <w:sz w:val="24"/>
          <w:lang w:val="sl-SI"/>
        </w:rPr>
        <w:t>Sodba Splošnega sodišča z dne 17. januarja 2013, Gollnisch/Parlament, T-346/11 in T-347/11, ECLI:EU:T:2013:23, točka 59 in navedena sodna praksa.</w:t>
      </w:r>
    </w:p>
  </w:footnote>
  <w:footnote w:id="3">
    <w:p w14:paraId="6CEBE0FA" w14:textId="5F86CFC8" w:rsidR="00546D1E" w:rsidRPr="00AB4195" w:rsidRDefault="00546D1E" w:rsidP="00AB4195">
      <w:pPr>
        <w:pStyle w:val="FootnoteText"/>
        <w:ind w:left="567" w:hanging="567"/>
        <w:rPr>
          <w:sz w:val="24"/>
          <w:lang w:val="sl-SI"/>
        </w:rPr>
      </w:pPr>
      <w:r w:rsidRPr="00AB4195">
        <w:rPr>
          <w:rStyle w:val="FootnoteReference"/>
          <w:sz w:val="24"/>
          <w:lang w:val="sl-SI"/>
        </w:rPr>
        <w:footnoteRef/>
      </w:r>
      <w:r w:rsidR="00AB4195" w:rsidRPr="00AB4195">
        <w:rPr>
          <w:sz w:val="24"/>
          <w:lang w:val="sl-SI"/>
        </w:rPr>
        <w:t xml:space="preserve"> </w:t>
      </w:r>
      <w:r w:rsidR="00AB4195" w:rsidRPr="00AB4195">
        <w:rPr>
          <w:sz w:val="24"/>
          <w:lang w:val="sl-SI"/>
        </w:rPr>
        <w:tab/>
      </w:r>
      <w:r w:rsidRPr="00AB4195">
        <w:rPr>
          <w:sz w:val="24"/>
          <w:lang w:val="sl-SI"/>
        </w:rPr>
        <w:t>Sodba Sodišča z dne 17. septembra 2020, Troszczynski/Parlament, C-12/19 P, ECLI:EU:C:2020:725, odstavek 26.</w:t>
      </w:r>
    </w:p>
  </w:footnote>
  <w:footnote w:id="4">
    <w:p w14:paraId="3022B7C7" w14:textId="4EC4BC74" w:rsidR="00546D1E" w:rsidRPr="00AB4195" w:rsidRDefault="00546D1E" w:rsidP="00AB4195">
      <w:pPr>
        <w:pStyle w:val="FootnoteText"/>
        <w:ind w:left="567" w:hanging="567"/>
        <w:rPr>
          <w:sz w:val="24"/>
          <w:lang w:val="sl-SI"/>
        </w:rPr>
      </w:pPr>
      <w:r w:rsidRPr="00AB4195">
        <w:rPr>
          <w:rStyle w:val="FootnoteReference"/>
          <w:sz w:val="24"/>
          <w:lang w:val="sl-SI"/>
        </w:rPr>
        <w:footnoteRef/>
      </w:r>
      <w:r w:rsidR="00AB4195" w:rsidRPr="00AB4195">
        <w:rPr>
          <w:sz w:val="24"/>
          <w:lang w:val="sl-SI"/>
        </w:rPr>
        <w:t xml:space="preserve"> </w:t>
      </w:r>
      <w:r w:rsidR="00AB4195" w:rsidRPr="00AB4195">
        <w:rPr>
          <w:sz w:val="24"/>
          <w:lang w:val="sl-SI"/>
        </w:rPr>
        <w:tab/>
      </w:r>
      <w:r w:rsidRPr="00AB4195">
        <w:rPr>
          <w:sz w:val="24"/>
          <w:lang w:val="sl-SI"/>
        </w:rPr>
        <w:t xml:space="preserve">Sodba Splošnega sodišča z dne 30. aprila 2019, </w:t>
      </w:r>
      <w:proofErr w:type="spellStart"/>
      <w:r w:rsidRPr="00AB4195">
        <w:rPr>
          <w:sz w:val="24"/>
          <w:lang w:val="sl-SI"/>
        </w:rPr>
        <w:t>Briois</w:t>
      </w:r>
      <w:proofErr w:type="spellEnd"/>
      <w:r w:rsidRPr="00AB4195">
        <w:rPr>
          <w:sz w:val="24"/>
          <w:lang w:val="sl-SI"/>
        </w:rPr>
        <w:t>/Parlament,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5BA88" w14:textId="77777777" w:rsidR="00064002" w:rsidRPr="00AB41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3BF95" w14:textId="77777777" w:rsidR="00064002" w:rsidRPr="00AB41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2718" w14:textId="77777777" w:rsidR="00064002" w:rsidRPr="00AB41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886219">
    <w:abstractNumId w:val="9"/>
  </w:num>
  <w:num w:numId="2" w16cid:durableId="1568029657">
    <w:abstractNumId w:val="9"/>
  </w:num>
  <w:num w:numId="3" w16cid:durableId="22831178">
    <w:abstractNumId w:val="7"/>
  </w:num>
  <w:num w:numId="4" w16cid:durableId="1244996484">
    <w:abstractNumId w:val="7"/>
  </w:num>
  <w:num w:numId="5" w16cid:durableId="283927950">
    <w:abstractNumId w:val="6"/>
  </w:num>
  <w:num w:numId="6" w16cid:durableId="1829320154">
    <w:abstractNumId w:val="6"/>
  </w:num>
  <w:num w:numId="7" w16cid:durableId="2102869723">
    <w:abstractNumId w:val="5"/>
  </w:num>
  <w:num w:numId="8" w16cid:durableId="1002510329">
    <w:abstractNumId w:val="5"/>
  </w:num>
  <w:num w:numId="9" w16cid:durableId="784349945">
    <w:abstractNumId w:val="4"/>
  </w:num>
  <w:num w:numId="10" w16cid:durableId="134302002">
    <w:abstractNumId w:val="4"/>
  </w:num>
  <w:num w:numId="11" w16cid:durableId="2138909838">
    <w:abstractNumId w:val="8"/>
  </w:num>
  <w:num w:numId="12" w16cid:durableId="1142231349">
    <w:abstractNumId w:val="8"/>
  </w:num>
  <w:num w:numId="13" w16cid:durableId="1068650696">
    <w:abstractNumId w:val="3"/>
  </w:num>
  <w:num w:numId="14" w16cid:durableId="661660069">
    <w:abstractNumId w:val="3"/>
  </w:num>
  <w:num w:numId="15" w16cid:durableId="228153452">
    <w:abstractNumId w:val="2"/>
  </w:num>
  <w:num w:numId="16" w16cid:durableId="1572623003">
    <w:abstractNumId w:val="2"/>
  </w:num>
  <w:num w:numId="17" w16cid:durableId="1383334793">
    <w:abstractNumId w:val="1"/>
  </w:num>
  <w:num w:numId="18" w16cid:durableId="1210916642">
    <w:abstractNumId w:val="1"/>
  </w:num>
  <w:num w:numId="19" w16cid:durableId="1159271356">
    <w:abstractNumId w:val="0"/>
  </w:num>
  <w:num w:numId="20" w16cid:durableId="64959529">
    <w:abstractNumId w:val="0"/>
  </w:num>
  <w:num w:numId="21" w16cid:durableId="1825273604">
    <w:abstractNumId w:val="9"/>
  </w:num>
  <w:num w:numId="22" w16cid:durableId="144203530">
    <w:abstractNumId w:val="7"/>
  </w:num>
  <w:num w:numId="23" w16cid:durableId="36786798">
    <w:abstractNumId w:val="6"/>
  </w:num>
  <w:num w:numId="24" w16cid:durableId="1694919891">
    <w:abstractNumId w:val="5"/>
  </w:num>
  <w:num w:numId="25" w16cid:durableId="891618559">
    <w:abstractNumId w:val="4"/>
  </w:num>
  <w:num w:numId="26" w16cid:durableId="1121916697">
    <w:abstractNumId w:val="8"/>
  </w:num>
  <w:num w:numId="27" w16cid:durableId="676885176">
    <w:abstractNumId w:val="3"/>
  </w:num>
  <w:num w:numId="28" w16cid:durableId="110050813">
    <w:abstractNumId w:val="2"/>
  </w:num>
  <w:num w:numId="29" w16cid:durableId="150566775">
    <w:abstractNumId w:val="1"/>
  </w:num>
  <w:num w:numId="30" w16cid:durableId="747116924">
    <w:abstractNumId w:val="0"/>
  </w:num>
  <w:num w:numId="31" w16cid:durableId="757555697">
    <w:abstractNumId w:val="9"/>
  </w:num>
  <w:num w:numId="32" w16cid:durableId="2135561125">
    <w:abstractNumId w:val="7"/>
  </w:num>
  <w:num w:numId="33" w16cid:durableId="1104767715">
    <w:abstractNumId w:val="6"/>
  </w:num>
  <w:num w:numId="34" w16cid:durableId="982347770">
    <w:abstractNumId w:val="5"/>
  </w:num>
  <w:num w:numId="35" w16cid:durableId="1883663920">
    <w:abstractNumId w:val="4"/>
  </w:num>
  <w:num w:numId="36" w16cid:durableId="1751659104">
    <w:abstractNumId w:val="8"/>
  </w:num>
  <w:num w:numId="37" w16cid:durableId="1873881574">
    <w:abstractNumId w:val="3"/>
  </w:num>
  <w:num w:numId="38" w16cid:durableId="1755010941">
    <w:abstractNumId w:val="2"/>
  </w:num>
  <w:num w:numId="39" w16cid:durableId="528689787">
    <w:abstractNumId w:val="1"/>
  </w:num>
  <w:num w:numId="40" w16cid:durableId="1063334924">
    <w:abstractNumId w:val="0"/>
  </w:num>
  <w:num w:numId="41" w16cid:durableId="2048602994">
    <w:abstractNumId w:val="10"/>
  </w:num>
  <w:num w:numId="42" w16cid:durableId="1056003246">
    <w:abstractNumId w:val="10"/>
  </w:num>
  <w:num w:numId="43" w16cid:durableId="310988228">
    <w:abstractNumId w:val="10"/>
  </w:num>
  <w:num w:numId="44" w16cid:durableId="8104409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SL"/>
    <w:docVar w:name="dvnumam" w:val="0"/>
    <w:docVar w:name="dvpe" w:val="775.580"/>
    <w:docVar w:name="dvrapporteur" w:val="Poročevalec: "/>
    <w:docVar w:name="dvtitre" w:val="Sklep Evropskega parlamenta z dne … 2025 o zahtevi za odvzem imunitete Pétru Magyaru(2025/2096(IMM))"/>
  </w:docVars>
  <w:rsids>
    <w:rsidRoot w:val="00111CE2"/>
    <w:rsid w:val="00002272"/>
    <w:rsid w:val="00064002"/>
    <w:rsid w:val="000677B9"/>
    <w:rsid w:val="00070415"/>
    <w:rsid w:val="000831BA"/>
    <w:rsid w:val="000A42CC"/>
    <w:rsid w:val="000E7DD9"/>
    <w:rsid w:val="000F5AD5"/>
    <w:rsid w:val="0010095E"/>
    <w:rsid w:val="00111CE2"/>
    <w:rsid w:val="00125B37"/>
    <w:rsid w:val="00127AF1"/>
    <w:rsid w:val="00187494"/>
    <w:rsid w:val="001F32AE"/>
    <w:rsid w:val="002767FF"/>
    <w:rsid w:val="002B18FE"/>
    <w:rsid w:val="002B5493"/>
    <w:rsid w:val="002B734C"/>
    <w:rsid w:val="00343214"/>
    <w:rsid w:val="00361C00"/>
    <w:rsid w:val="00395FA1"/>
    <w:rsid w:val="003C7B20"/>
    <w:rsid w:val="003E15D4"/>
    <w:rsid w:val="00404CEB"/>
    <w:rsid w:val="00407A53"/>
    <w:rsid w:val="00411CCE"/>
    <w:rsid w:val="00413199"/>
    <w:rsid w:val="0041666E"/>
    <w:rsid w:val="00421060"/>
    <w:rsid w:val="00471C19"/>
    <w:rsid w:val="004867E3"/>
    <w:rsid w:val="00494A28"/>
    <w:rsid w:val="004A457F"/>
    <w:rsid w:val="004C0004"/>
    <w:rsid w:val="004C5D52"/>
    <w:rsid w:val="0050519A"/>
    <w:rsid w:val="005072A1"/>
    <w:rsid w:val="00514517"/>
    <w:rsid w:val="00545827"/>
    <w:rsid w:val="00546D1E"/>
    <w:rsid w:val="00560270"/>
    <w:rsid w:val="005C22D8"/>
    <w:rsid w:val="005C2568"/>
    <w:rsid w:val="005C58F8"/>
    <w:rsid w:val="005F1B17"/>
    <w:rsid w:val="006037C0"/>
    <w:rsid w:val="00656ABC"/>
    <w:rsid w:val="006631B6"/>
    <w:rsid w:val="00680577"/>
    <w:rsid w:val="006F74FA"/>
    <w:rsid w:val="007007B4"/>
    <w:rsid w:val="007060BB"/>
    <w:rsid w:val="00731ADD"/>
    <w:rsid w:val="00734777"/>
    <w:rsid w:val="00747932"/>
    <w:rsid w:val="00751A4A"/>
    <w:rsid w:val="00756632"/>
    <w:rsid w:val="00762C74"/>
    <w:rsid w:val="0076508D"/>
    <w:rsid w:val="00786EC0"/>
    <w:rsid w:val="007D1690"/>
    <w:rsid w:val="007E22AD"/>
    <w:rsid w:val="00817416"/>
    <w:rsid w:val="00837F43"/>
    <w:rsid w:val="008407D2"/>
    <w:rsid w:val="00842779"/>
    <w:rsid w:val="008518A7"/>
    <w:rsid w:val="00865F67"/>
    <w:rsid w:val="00881A7B"/>
    <w:rsid w:val="008840E5"/>
    <w:rsid w:val="00887B3E"/>
    <w:rsid w:val="008C2AC6"/>
    <w:rsid w:val="00912F42"/>
    <w:rsid w:val="00930C23"/>
    <w:rsid w:val="0093193B"/>
    <w:rsid w:val="009436E9"/>
    <w:rsid w:val="009509D8"/>
    <w:rsid w:val="00950B64"/>
    <w:rsid w:val="00981893"/>
    <w:rsid w:val="009E1DF4"/>
    <w:rsid w:val="00A1687D"/>
    <w:rsid w:val="00A43E52"/>
    <w:rsid w:val="00A4678D"/>
    <w:rsid w:val="00A778C7"/>
    <w:rsid w:val="00AB4195"/>
    <w:rsid w:val="00AB441E"/>
    <w:rsid w:val="00AB6293"/>
    <w:rsid w:val="00AE0928"/>
    <w:rsid w:val="00AF3B82"/>
    <w:rsid w:val="00B12E95"/>
    <w:rsid w:val="00B22876"/>
    <w:rsid w:val="00B558F0"/>
    <w:rsid w:val="00B61F64"/>
    <w:rsid w:val="00BD48FE"/>
    <w:rsid w:val="00BD7BD8"/>
    <w:rsid w:val="00BE6ADC"/>
    <w:rsid w:val="00C05BFE"/>
    <w:rsid w:val="00C17ABB"/>
    <w:rsid w:val="00C23CD4"/>
    <w:rsid w:val="00C449D6"/>
    <w:rsid w:val="00C61C0C"/>
    <w:rsid w:val="00C8349E"/>
    <w:rsid w:val="00C941CB"/>
    <w:rsid w:val="00CA7F55"/>
    <w:rsid w:val="00CC2357"/>
    <w:rsid w:val="00CC7924"/>
    <w:rsid w:val="00CF071A"/>
    <w:rsid w:val="00D058B8"/>
    <w:rsid w:val="00D130A3"/>
    <w:rsid w:val="00D56C11"/>
    <w:rsid w:val="00D834A0"/>
    <w:rsid w:val="00D872DF"/>
    <w:rsid w:val="00D91E21"/>
    <w:rsid w:val="00DA13EE"/>
    <w:rsid w:val="00DA7FCD"/>
    <w:rsid w:val="00DF6E22"/>
    <w:rsid w:val="00E365E1"/>
    <w:rsid w:val="00E5591D"/>
    <w:rsid w:val="00E820A4"/>
    <w:rsid w:val="00EB006A"/>
    <w:rsid w:val="00EB4772"/>
    <w:rsid w:val="00ED169E"/>
    <w:rsid w:val="00ED4235"/>
    <w:rsid w:val="00EF53D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69601"/>
  <w15:chartTrackingRefBased/>
  <w15:docId w15:val="{AA19540A-E23D-4840-A4A7-993671399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46D1E"/>
    <w:pPr>
      <w:spacing w:after="240"/>
      <w:ind w:left="567" w:hanging="567"/>
    </w:pPr>
  </w:style>
  <w:style w:type="character" w:customStyle="1" w:styleId="doceo-font-family-base">
    <w:name w:val="doceo-font-family-base"/>
    <w:basedOn w:val="DefaultParagraphFont"/>
    <w:rsid w:val="00546D1E"/>
  </w:style>
  <w:style w:type="paragraph" w:customStyle="1" w:styleId="EPComma">
    <w:name w:val="EPComma"/>
    <w:basedOn w:val="Normal"/>
    <w:rsid w:val="00546D1E"/>
    <w:pPr>
      <w:spacing w:before="480" w:after="240"/>
    </w:pPr>
  </w:style>
  <w:style w:type="paragraph" w:customStyle="1" w:styleId="doceo-line-height-base">
    <w:name w:val="doceo-line-height-base"/>
    <w:basedOn w:val="Normal"/>
    <w:rsid w:val="00546D1E"/>
    <w:pPr>
      <w:widowControl/>
      <w:spacing w:before="100" w:beforeAutospacing="1" w:after="100" w:afterAutospacing="1"/>
    </w:pPr>
    <w:rPr>
      <w:szCs w:val="24"/>
    </w:rPr>
  </w:style>
  <w:style w:type="character" w:styleId="CommentReference">
    <w:name w:val="annotation reference"/>
    <w:basedOn w:val="DefaultParagraphFont"/>
    <w:rsid w:val="00D130A3"/>
    <w:rPr>
      <w:sz w:val="16"/>
      <w:szCs w:val="16"/>
    </w:rPr>
  </w:style>
  <w:style w:type="paragraph" w:styleId="CommentText">
    <w:name w:val="annotation text"/>
    <w:basedOn w:val="Normal"/>
    <w:link w:val="CommentTextChar"/>
    <w:rsid w:val="00D130A3"/>
    <w:rPr>
      <w:sz w:val="20"/>
    </w:rPr>
  </w:style>
  <w:style w:type="character" w:customStyle="1" w:styleId="CommentTextChar">
    <w:name w:val="Comment Text Char"/>
    <w:basedOn w:val="DefaultParagraphFont"/>
    <w:link w:val="CommentText"/>
    <w:rsid w:val="00D130A3"/>
    <w:rPr>
      <w:lang w:val="sl-SI"/>
    </w:rPr>
  </w:style>
  <w:style w:type="paragraph" w:styleId="CommentSubject">
    <w:name w:val="annotation subject"/>
    <w:basedOn w:val="CommentText"/>
    <w:next w:val="CommentText"/>
    <w:link w:val="CommentSubjectChar"/>
    <w:rsid w:val="00D130A3"/>
    <w:rPr>
      <w:b/>
      <w:bCs/>
    </w:rPr>
  </w:style>
  <w:style w:type="character" w:customStyle="1" w:styleId="CommentSubjectChar">
    <w:name w:val="Comment Subject Char"/>
    <w:basedOn w:val="CommentTextChar"/>
    <w:link w:val="CommentSubject"/>
    <w:rsid w:val="00D130A3"/>
    <w:rPr>
      <w:b/>
      <w:bCs/>
      <w:lang w:val="sl-SI"/>
    </w:rPr>
  </w:style>
  <w:style w:type="character" w:styleId="Hyperlink">
    <w:name w:val="Hyperlink"/>
    <w:basedOn w:val="DefaultParagraphFont"/>
    <w:rsid w:val="00D130A3"/>
    <w:rPr>
      <w:color w:val="0563C1" w:themeColor="hyperlink"/>
      <w:u w:val="single"/>
    </w:rPr>
  </w:style>
  <w:style w:type="character" w:styleId="UnresolvedMention">
    <w:name w:val="Unresolved Mention"/>
    <w:basedOn w:val="DefaultParagraphFont"/>
    <w:uiPriority w:val="99"/>
    <w:semiHidden/>
    <w:unhideWhenUsed/>
    <w:rsid w:val="00D130A3"/>
    <w:rPr>
      <w:color w:val="605E5C"/>
      <w:shd w:val="clear" w:color="auto" w:fill="E1DFDD"/>
    </w:rPr>
  </w:style>
  <w:style w:type="paragraph" w:styleId="Revision">
    <w:name w:val="Revision"/>
    <w:hidden/>
    <w:uiPriority w:val="99"/>
    <w:semiHidden/>
    <w:rsid w:val="00D130A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2025-11-10T14:22:00Z</dcterms:created>
  <dcterms:modified xsi:type="dcterms:W3CDTF">2025-11-10T14:22:00Z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P10_TA(2025)0205_</vt:lpwstr>
  </property>
  <property fmtid="{D5CDD505-2E9C-101B-9397-08002B2CF9AE}" pid="4" name="&lt;Type&gt;">
    <vt:lpwstr>RR</vt:lpwstr>
  </property>
</Properties>
</file>