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E01" w14:paraId="44A9B0A4" w14:textId="77777777" w:rsidTr="0010095E">
        <w:trPr>
          <w:trHeight w:hRule="exact" w:val="1418"/>
        </w:trPr>
        <w:tc>
          <w:tcPr>
            <w:tcW w:w="6804" w:type="dxa"/>
            <w:shd w:val="clear" w:color="auto" w:fill="auto"/>
            <w:vAlign w:val="center"/>
          </w:tcPr>
          <w:p w14:paraId="0937BFE0" w14:textId="77777777" w:rsidR="00751A4A" w:rsidRPr="00946E01" w:rsidRDefault="00D96E58" w:rsidP="0010095E">
            <w:pPr>
              <w:pStyle w:val="EPName"/>
            </w:pPr>
            <w:r w:rsidRPr="00946E01">
              <w:t>Europaparlamentet</w:t>
            </w:r>
          </w:p>
          <w:p w14:paraId="3AC89BCA" w14:textId="77777777" w:rsidR="00751A4A" w:rsidRPr="00946E01" w:rsidRDefault="005F1B17" w:rsidP="005F1B17">
            <w:pPr>
              <w:pStyle w:val="EPTerm"/>
              <w:rPr>
                <w:rStyle w:val="HideTWBExt"/>
                <w:noProof w:val="0"/>
                <w:vanish w:val="0"/>
                <w:color w:val="auto"/>
              </w:rPr>
            </w:pPr>
            <w:r w:rsidRPr="00946E01">
              <w:t>2024</w:t>
            </w:r>
            <w:r w:rsidR="00817416" w:rsidRPr="00946E01">
              <w:t>-202</w:t>
            </w:r>
            <w:r w:rsidRPr="00946E01">
              <w:t>9</w:t>
            </w:r>
          </w:p>
        </w:tc>
        <w:tc>
          <w:tcPr>
            <w:tcW w:w="2268" w:type="dxa"/>
            <w:shd w:val="clear" w:color="auto" w:fill="auto"/>
          </w:tcPr>
          <w:p w14:paraId="3D0D5CB0" w14:textId="77777777" w:rsidR="00751A4A" w:rsidRPr="00946E01" w:rsidRDefault="00187494" w:rsidP="0010095E">
            <w:pPr>
              <w:pStyle w:val="EPLogo"/>
            </w:pPr>
            <w:r w:rsidRPr="00946E01">
              <w:rPr>
                <w:noProof/>
                <w:lang w:eastAsia="ja-JP"/>
              </w:rPr>
              <w:drawing>
                <wp:inline distT="0" distB="0" distL="0" distR="0" wp14:anchorId="61224C09" wp14:editId="7BCBE5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EA6237" w14:textId="77777777" w:rsidR="00D058B8" w:rsidRPr="00946E01" w:rsidRDefault="00D058B8" w:rsidP="004C5D52">
      <w:pPr>
        <w:pStyle w:val="LineTop"/>
      </w:pPr>
    </w:p>
    <w:p w14:paraId="06C69B45" w14:textId="77777777" w:rsidR="00680577" w:rsidRPr="00946E01" w:rsidRDefault="00D96E58" w:rsidP="00680577">
      <w:pPr>
        <w:pStyle w:val="EPBodyTA1"/>
      </w:pPr>
      <w:r w:rsidRPr="00946E01">
        <w:t>ANTAGNA TEXTER</w:t>
      </w:r>
    </w:p>
    <w:p w14:paraId="0C3F5DE4" w14:textId="77777777" w:rsidR="00D058B8" w:rsidRPr="00946E01" w:rsidRDefault="00D058B8" w:rsidP="00D058B8">
      <w:pPr>
        <w:pStyle w:val="LineBottom"/>
      </w:pPr>
    </w:p>
    <w:p w14:paraId="7601B3AA" w14:textId="2FB248C4" w:rsidR="00D96E58" w:rsidRPr="00946E01" w:rsidRDefault="00D96E58" w:rsidP="00D96E58">
      <w:pPr>
        <w:pStyle w:val="ATHeading1"/>
      </w:pPr>
      <w:bookmarkStart w:id="0" w:name="TANumber"/>
      <w:r w:rsidRPr="00946E01">
        <w:t>P10_TA(2025)0</w:t>
      </w:r>
      <w:r w:rsidR="00946E01" w:rsidRPr="00946E01">
        <w:t>205</w:t>
      </w:r>
      <w:bookmarkEnd w:id="0"/>
    </w:p>
    <w:p w14:paraId="3A5677AB" w14:textId="77777777" w:rsidR="00D96E58" w:rsidRPr="00946E01" w:rsidRDefault="00D96E58" w:rsidP="00D96E58">
      <w:pPr>
        <w:pStyle w:val="ATHeading2"/>
      </w:pPr>
      <w:bookmarkStart w:id="1" w:name="title"/>
      <w:r w:rsidRPr="00946E01">
        <w:t>Begäran om upphävande av Péter Magyars immunitet</w:t>
      </w:r>
      <w:bookmarkEnd w:id="1"/>
    </w:p>
    <w:p w14:paraId="2239BF27" w14:textId="77777777" w:rsidR="00D96E58" w:rsidRPr="00946E01" w:rsidRDefault="00D96E58" w:rsidP="00D96E58">
      <w:pPr>
        <w:rPr>
          <w:i/>
          <w:vanish/>
        </w:rPr>
      </w:pPr>
      <w:r w:rsidRPr="00946E01">
        <w:rPr>
          <w:i/>
        </w:rPr>
        <w:fldChar w:fldCharType="begin"/>
      </w:r>
      <w:r w:rsidRPr="00946E01">
        <w:rPr>
          <w:i/>
        </w:rPr>
        <w:instrText xml:space="preserve"> TC"(</w:instrText>
      </w:r>
      <w:bookmarkStart w:id="2" w:name="DocNumber"/>
      <w:r w:rsidRPr="00946E01">
        <w:rPr>
          <w:i/>
        </w:rPr>
        <w:instrText>A10-0182/2025</w:instrText>
      </w:r>
      <w:bookmarkEnd w:id="2"/>
      <w:r w:rsidRPr="00946E01">
        <w:rPr>
          <w:i/>
        </w:rPr>
        <w:instrText xml:space="preserve"> - Föredragande: Ilhan Kyuchyuk)"\l3 \n&gt; \* MERGEFORMAT </w:instrText>
      </w:r>
      <w:r w:rsidRPr="00946E01">
        <w:rPr>
          <w:i/>
        </w:rPr>
        <w:fldChar w:fldCharType="end"/>
      </w:r>
    </w:p>
    <w:p w14:paraId="1C670174" w14:textId="77777777" w:rsidR="00D96E58" w:rsidRPr="00946E01" w:rsidRDefault="00D96E58" w:rsidP="00D96E58">
      <w:pPr>
        <w:rPr>
          <w:vanish/>
        </w:rPr>
      </w:pPr>
      <w:bookmarkStart w:id="3" w:name="Commission"/>
      <w:r w:rsidRPr="00946E01">
        <w:rPr>
          <w:vanish/>
        </w:rPr>
        <w:t>Utskottet för rättsliga frågor</w:t>
      </w:r>
      <w:bookmarkEnd w:id="3"/>
    </w:p>
    <w:p w14:paraId="36AF8127" w14:textId="77777777" w:rsidR="00D96E58" w:rsidRPr="00946E01" w:rsidRDefault="00D96E58" w:rsidP="00D96E58">
      <w:pPr>
        <w:rPr>
          <w:vanish/>
        </w:rPr>
      </w:pPr>
      <w:bookmarkStart w:id="4" w:name="PE"/>
      <w:r w:rsidRPr="00946E01">
        <w:rPr>
          <w:vanish/>
        </w:rPr>
        <w:t>PE775.580</w:t>
      </w:r>
      <w:bookmarkEnd w:id="4"/>
    </w:p>
    <w:p w14:paraId="05FA8FFC" w14:textId="3E77F5B8" w:rsidR="00D96E58" w:rsidRPr="00946E01" w:rsidRDefault="00D96E58" w:rsidP="00D96E58">
      <w:pPr>
        <w:pStyle w:val="ATHeading3"/>
      </w:pPr>
      <w:bookmarkStart w:id="5" w:name="Sujet"/>
      <w:r w:rsidRPr="00946E01">
        <w:t xml:space="preserve">Europaparlamentets beslut av den </w:t>
      </w:r>
      <w:r w:rsidR="00032A82" w:rsidRPr="00946E01">
        <w:t>7 oktober</w:t>
      </w:r>
      <w:r w:rsidRPr="00946E01">
        <w:t xml:space="preserve"> 2025 om begäran om upphävande av Péter Magyars immunitet</w:t>
      </w:r>
      <w:bookmarkEnd w:id="5"/>
      <w:r w:rsidRPr="00946E01">
        <w:t xml:space="preserve"> </w:t>
      </w:r>
      <w:bookmarkStart w:id="6" w:name="References"/>
      <w:r w:rsidRPr="00946E01">
        <w:t>(2025/2096(IMM))</w:t>
      </w:r>
      <w:bookmarkEnd w:id="6"/>
    </w:p>
    <w:p w14:paraId="20E78614" w14:textId="77777777" w:rsidR="003A4380" w:rsidRPr="00946E01" w:rsidRDefault="003A4380" w:rsidP="003A4380">
      <w:pPr>
        <w:pStyle w:val="EPComma"/>
      </w:pPr>
      <w:r w:rsidRPr="00946E01">
        <w:rPr>
          <w:i/>
        </w:rPr>
        <w:t>Europaparlamentet fattar detta beslut</w:t>
      </w:r>
    </w:p>
    <w:p w14:paraId="6D0F66A9" w14:textId="41318D4D" w:rsidR="003A4380" w:rsidRPr="00946E01" w:rsidRDefault="003A4380" w:rsidP="003A4380">
      <w:pPr>
        <w:pStyle w:val="NormalHanging12a"/>
      </w:pPr>
      <w:r w:rsidRPr="00946E01">
        <w:t>–</w:t>
      </w:r>
      <w:r w:rsidRPr="00946E01">
        <w:tab/>
        <w:t xml:space="preserve">med beaktande av begäran </w:t>
      </w:r>
      <w:r w:rsidR="00032A82" w:rsidRPr="00946E01">
        <w:t xml:space="preserve">om upphävande av Péter Magyars immunitet </w:t>
      </w:r>
      <w:r w:rsidRPr="00946E01">
        <w:t>av den 21 mars 2025</w:t>
      </w:r>
      <w:r w:rsidR="00032A82" w:rsidRPr="00946E01">
        <w:t xml:space="preserve">, inlämnad av den centrala </w:t>
      </w:r>
      <w:r w:rsidRPr="00946E01">
        <w:t xml:space="preserve">distriktsdomstolen </w:t>
      </w:r>
      <w:r w:rsidR="00032A82" w:rsidRPr="00946E01">
        <w:t xml:space="preserve">i </w:t>
      </w:r>
      <w:r w:rsidRPr="00946E01">
        <w:t xml:space="preserve">Pest </w:t>
      </w:r>
      <w:r w:rsidR="00C60AE7" w:rsidRPr="00946E01">
        <w:t>i Ungern</w:t>
      </w:r>
      <w:r w:rsidRPr="00946E01">
        <w:t xml:space="preserve"> med anledning av ett brottmålsförfarande mot honom</w:t>
      </w:r>
      <w:r w:rsidR="00C60AE7" w:rsidRPr="00946E01">
        <w:t xml:space="preserve"> genom ett </w:t>
      </w:r>
      <w:r w:rsidR="00435E87" w:rsidRPr="00946E01">
        <w:t>privat yrkande</w:t>
      </w:r>
      <w:r w:rsidRPr="00946E01">
        <w:t xml:space="preserve">, vilken tillkännagavs i </w:t>
      </w:r>
      <w:r w:rsidR="001C5E72" w:rsidRPr="00946E01">
        <w:t>kammaren</w:t>
      </w:r>
      <w:r w:rsidR="00032A82" w:rsidRPr="00946E01">
        <w:t xml:space="preserve"> </w:t>
      </w:r>
      <w:r w:rsidRPr="00946E01">
        <w:t>den 5 maj 2025,</w:t>
      </w:r>
    </w:p>
    <w:p w14:paraId="02E2407C" w14:textId="0805BCE5" w:rsidR="003A4380" w:rsidRPr="00946E01" w:rsidRDefault="003A4380" w:rsidP="003A4380">
      <w:pPr>
        <w:pStyle w:val="NormalHanging12a"/>
      </w:pPr>
      <w:r w:rsidRPr="00946E01">
        <w:t>–</w:t>
      </w:r>
      <w:r w:rsidRPr="00946E01">
        <w:tab/>
        <w:t xml:space="preserve">med beaktande av </w:t>
      </w:r>
      <w:r w:rsidR="00C60AE7" w:rsidRPr="00946E01">
        <w:t xml:space="preserve">det faktum att </w:t>
      </w:r>
      <w:r w:rsidRPr="00946E01">
        <w:t xml:space="preserve">Péter Magyar </w:t>
      </w:r>
      <w:r w:rsidR="00C60AE7" w:rsidRPr="00946E01">
        <w:t>avstod</w:t>
      </w:r>
      <w:r w:rsidRPr="00946E01">
        <w:t xml:space="preserve"> rätten att höras i enlighet med artikel 9.6 i arbetsordningen,</w:t>
      </w:r>
    </w:p>
    <w:p w14:paraId="3CD0757E" w14:textId="77777777" w:rsidR="003A4380" w:rsidRPr="00946E01" w:rsidRDefault="003A4380" w:rsidP="003A4380">
      <w:pPr>
        <w:pStyle w:val="NormalHanging12a"/>
      </w:pPr>
      <w:r w:rsidRPr="00946E01">
        <w:t>–</w:t>
      </w:r>
      <w:r w:rsidRPr="00946E01">
        <w:tab/>
        <w:t>med beaktande av artiklarna 8 och 9 i protokoll nr 7 om Europeiska unionens immunitet och privilegier och artikel 6.2 i akten av den 20 september 1976 om allmänna direkta val av ledamöter av Europaparlamentet,</w:t>
      </w:r>
    </w:p>
    <w:p w14:paraId="24382F34" w14:textId="77777777" w:rsidR="003A4380" w:rsidRPr="00946E01" w:rsidRDefault="003A4380" w:rsidP="003A4380">
      <w:pPr>
        <w:pStyle w:val="NormalHanging12a"/>
      </w:pPr>
      <w:r w:rsidRPr="00946E01">
        <w:t>–</w:t>
      </w:r>
      <w:r w:rsidRPr="00946E01">
        <w:tab/>
        <w:t>med beaktande av artikel 4.2 i Ungerns grundlag,</w:t>
      </w:r>
    </w:p>
    <w:p w14:paraId="1A77B2DD" w14:textId="77777777" w:rsidR="003A4380" w:rsidRPr="00946E01" w:rsidRDefault="003A4380" w:rsidP="003A4380">
      <w:pPr>
        <w:pStyle w:val="NormalHanging12a"/>
      </w:pPr>
      <w:r w:rsidRPr="00946E01">
        <w:t>–</w:t>
      </w:r>
      <w:r w:rsidRPr="00946E01">
        <w:tab/>
        <w:t>med beaktande av Europeiska unionens domstols domar av den 21 oktober 2008, 19 mars 2010, 6 september 2011, 17 januari 2013, 19 december 2019 och 5 juli 2023</w:t>
      </w:r>
      <w:r w:rsidRPr="00946E01">
        <w:rPr>
          <w:rStyle w:val="FootnoteReference"/>
        </w:rPr>
        <w:footnoteReference w:id="1"/>
      </w:r>
      <w:r w:rsidRPr="00946E01">
        <w:t>,</w:t>
      </w:r>
    </w:p>
    <w:p w14:paraId="7D157B02" w14:textId="77777777" w:rsidR="003A4380" w:rsidRPr="00946E01" w:rsidRDefault="003A4380" w:rsidP="003A4380">
      <w:pPr>
        <w:pStyle w:val="NormalHanging12a"/>
      </w:pPr>
      <w:r w:rsidRPr="00946E01">
        <w:t>–</w:t>
      </w:r>
      <w:r w:rsidRPr="00946E01">
        <w:tab/>
        <w:t>med beaktande av artiklarna 5.2, 6.1 och 9 i arbetsordningen,</w:t>
      </w:r>
    </w:p>
    <w:p w14:paraId="3C1CFACE" w14:textId="77777777" w:rsidR="003A4380" w:rsidRPr="00946E01" w:rsidRDefault="003A4380" w:rsidP="003A4380">
      <w:pPr>
        <w:pStyle w:val="NormalHanging12a"/>
      </w:pPr>
      <w:r w:rsidRPr="00946E01">
        <w:t>–</w:t>
      </w:r>
      <w:r w:rsidRPr="00946E01">
        <w:tab/>
        <w:t xml:space="preserve">med beaktande av betänkandet från utskottet för rättsliga frågor (A10-0182/2025), och </w:t>
      </w:r>
      <w:r w:rsidRPr="00946E01">
        <w:lastRenderedPageBreak/>
        <w:t>av följande skäl:</w:t>
      </w:r>
    </w:p>
    <w:p w14:paraId="3ECE8D13" w14:textId="10040F08" w:rsidR="003A4380" w:rsidRPr="00946E01" w:rsidRDefault="003A4380" w:rsidP="006B0221">
      <w:pPr>
        <w:pStyle w:val="NormalHanging12a"/>
        <w:widowControl/>
      </w:pPr>
      <w:r w:rsidRPr="00946E01">
        <w:t>A.</w:t>
      </w:r>
      <w:r w:rsidRPr="00946E01">
        <w:tab/>
      </w:r>
      <w:r w:rsidR="006B0221" w:rsidRPr="00946E01">
        <w:t>D</w:t>
      </w:r>
      <w:r w:rsidRPr="00946E01">
        <w:t xml:space="preserve">en 21 mars 2025 </w:t>
      </w:r>
      <w:r w:rsidR="006B0221" w:rsidRPr="00946E01">
        <w:t xml:space="preserve">lämnade den centrala </w:t>
      </w:r>
      <w:r w:rsidRPr="00946E01">
        <w:t xml:space="preserve">distriktsdomstolen </w:t>
      </w:r>
      <w:r w:rsidR="006B0221" w:rsidRPr="00946E01">
        <w:t xml:space="preserve">i </w:t>
      </w:r>
      <w:r w:rsidRPr="00946E01">
        <w:t xml:space="preserve">Pest </w:t>
      </w:r>
      <w:r w:rsidR="006B0221" w:rsidRPr="00946E01">
        <w:t xml:space="preserve">in </w:t>
      </w:r>
      <w:r w:rsidRPr="00946E01">
        <w:t xml:space="preserve">en begäran om upphävande av </w:t>
      </w:r>
      <w:r w:rsidR="00337E4E" w:rsidRPr="00946E01">
        <w:t xml:space="preserve">immunitet för </w:t>
      </w:r>
      <w:r w:rsidRPr="00946E01">
        <w:t>Péter Magyars</w:t>
      </w:r>
      <w:r w:rsidR="006B0221" w:rsidRPr="00946E01">
        <w:t>, en ledamot av Europaparlamentet vald i Ungern,</w:t>
      </w:r>
      <w:r w:rsidRPr="00946E01">
        <w:t xml:space="preserve"> med anledning av ett påstått brott enligt </w:t>
      </w:r>
      <w:r w:rsidR="00032342" w:rsidRPr="00946E01">
        <w:t>avsnitt</w:t>
      </w:r>
      <w:r w:rsidRPr="00946E01">
        <w:t xml:space="preserve"> 226 i lag C från 2012 om den ungerska strafflagen i samband med händelser som inträffade i april 2024, inom ramen för ett brottmål gällande förtal</w:t>
      </w:r>
      <w:r w:rsidR="006B0221" w:rsidRPr="00946E01">
        <w:t xml:space="preserve"> mot honom </w:t>
      </w:r>
      <w:r w:rsidRPr="00946E01">
        <w:t>som inletts av en enskild part.</w:t>
      </w:r>
    </w:p>
    <w:p w14:paraId="1506DC62" w14:textId="4543971B" w:rsidR="003A4380" w:rsidRPr="00946E01" w:rsidRDefault="003A4380" w:rsidP="003A4380">
      <w:pPr>
        <w:pStyle w:val="NormalHanging12a"/>
        <w:widowControl/>
      </w:pPr>
      <w:r w:rsidRPr="00946E01">
        <w:rPr>
          <w:shd w:val="clear" w:color="auto" w:fill="FFFFFF"/>
        </w:rPr>
        <w:t>B.</w:t>
      </w:r>
      <w:r w:rsidRPr="00946E01">
        <w:rPr>
          <w:shd w:val="clear" w:color="auto" w:fill="FFFFFF"/>
        </w:rPr>
        <w:tab/>
      </w:r>
      <w:r w:rsidRPr="00946E01">
        <w:t xml:space="preserve">I begäran om upphävande av immunitet </w:t>
      </w:r>
      <w:r w:rsidR="00631C04" w:rsidRPr="00946E01">
        <w:t>indikeras</w:t>
      </w:r>
      <w:r w:rsidR="00C60AE7" w:rsidRPr="00946E01">
        <w:t xml:space="preserve"> </w:t>
      </w:r>
      <w:r w:rsidRPr="00946E01">
        <w:t>att Péter Magyar anklagas för att i samband med en demonstration ha gjort offentliga uttalanden med falska påståenden och för att ha spridit rykten som skulle kunna skada anseendet hos den politiska rörelsen Mi Hazánk Mozgalom (vårt hemland) och en av dess vice ordförande, som är ledamot av det ungerska parlamentet. Den 13 maj 2024 väcktes enskilt åtal mot Péter Magyar på grundval av en brottsanmälan gällande förtal.</w:t>
      </w:r>
    </w:p>
    <w:p w14:paraId="43416435" w14:textId="4D08C478" w:rsidR="003A4380" w:rsidRPr="00946E01" w:rsidRDefault="003A4380" w:rsidP="003A4380">
      <w:pPr>
        <w:pStyle w:val="NormalHanging12a"/>
        <w:widowControl/>
      </w:pPr>
      <w:r w:rsidRPr="00946E01">
        <w:t>C.</w:t>
      </w:r>
      <w:r w:rsidRPr="00946E01">
        <w:tab/>
        <w:t xml:space="preserve">Péter Magyar valdes i Europaparlamentsvalet i juni 2024 och drev sin valkampanj inför Europaparlamentsvalet </w:t>
      </w:r>
      <w:r w:rsidR="00631C04" w:rsidRPr="00946E01">
        <w:t xml:space="preserve">vid tidpunkten </w:t>
      </w:r>
      <w:r w:rsidRPr="00946E01">
        <w:t xml:space="preserve">då </w:t>
      </w:r>
      <w:r w:rsidR="006B0221" w:rsidRPr="00946E01">
        <w:t>en brottmåls</w:t>
      </w:r>
      <w:r w:rsidRPr="00946E01">
        <w:t>anmälan mot honom gjordes.</w:t>
      </w:r>
    </w:p>
    <w:p w14:paraId="3EAE1F78" w14:textId="39CF75A2" w:rsidR="003A4380" w:rsidRPr="00946E01" w:rsidRDefault="003A4380" w:rsidP="003A4380">
      <w:pPr>
        <w:pStyle w:val="NormalHanging12a"/>
        <w:widowControl/>
      </w:pPr>
      <w:r w:rsidRPr="00946E01">
        <w:t>D.</w:t>
      </w:r>
      <w:r w:rsidRPr="00946E01">
        <w:tab/>
        <w:t>Det brott</w:t>
      </w:r>
      <w:r w:rsidR="00CB5CA1" w:rsidRPr="00946E01">
        <w:t xml:space="preserve"> som görs gällande</w:t>
      </w:r>
      <w:r w:rsidRPr="00946E01">
        <w:t xml:space="preserve"> och den därav följande begäran om upphävande av hans immunitet har inget samband med de yttranden som Péter Magyar gjort eller de röster som han avlagt under utövandet av sitt ämbete i den mening som avses i artikel 8 i protokoll nr 7 om Europeiska unionens immunitet och privilegier.</w:t>
      </w:r>
    </w:p>
    <w:p w14:paraId="38FA0CBF" w14:textId="7C7BD9BF" w:rsidR="003A4380" w:rsidRPr="00946E01" w:rsidRDefault="003A4380" w:rsidP="003A4380">
      <w:pPr>
        <w:pStyle w:val="NormalHanging12a"/>
        <w:widowControl/>
      </w:pPr>
      <w:r w:rsidRPr="00946E01">
        <w:t>E.</w:t>
      </w:r>
      <w:r w:rsidRPr="00946E01">
        <w:tab/>
        <w:t xml:space="preserve">I artikel 9 </w:t>
      </w:r>
      <w:r w:rsidR="00CB5CA1" w:rsidRPr="00946E01">
        <w:t xml:space="preserve">första </w:t>
      </w:r>
      <w:r w:rsidR="00946E01" w:rsidRPr="00946E01">
        <w:t>stycket a</w:t>
      </w:r>
      <w:r w:rsidRPr="00946E01">
        <w:t xml:space="preserve"> i protokoll nr 7 om Europeiska unionens immunitet och privilegier anges att Europaparlamentets ledamöter på den egna medlemsstatens territorium ska åtnjuta den immunitet som beviljas ledamöter av </w:t>
      </w:r>
      <w:r w:rsidR="00CB5CA1" w:rsidRPr="00946E01">
        <w:t xml:space="preserve">deras </w:t>
      </w:r>
      <w:r w:rsidRPr="00946E01">
        <w:t>parlamentet.</w:t>
      </w:r>
    </w:p>
    <w:p w14:paraId="6BC7C02B" w14:textId="49A84A71" w:rsidR="003A4380" w:rsidRPr="00946E01" w:rsidRDefault="003A4380" w:rsidP="003A4380">
      <w:pPr>
        <w:pStyle w:val="NormalHanging12a"/>
      </w:pPr>
      <w:r w:rsidRPr="00946E01">
        <w:t>F.</w:t>
      </w:r>
      <w:r w:rsidRPr="00946E01">
        <w:tab/>
        <w:t>Enligt artikel 4.2 i Ungerns grundlag ska ledamöter av de</w:t>
      </w:r>
      <w:r w:rsidR="00D943C1">
        <w:t>t</w:t>
      </w:r>
      <w:r w:rsidRPr="00946E01">
        <w:t xml:space="preserve"> ungerska </w:t>
      </w:r>
      <w:r w:rsidR="00D943C1">
        <w:t>parlamentet</w:t>
      </w:r>
      <w:r w:rsidR="00D943C1" w:rsidRPr="00946E01">
        <w:t xml:space="preserve"> </w:t>
      </w:r>
      <w:r w:rsidRPr="00946E01">
        <w:t>åtnjuta parlamentarisk immunitet.</w:t>
      </w:r>
      <w:r w:rsidRPr="00946E01">
        <w:rPr>
          <w:color w:val="000000"/>
          <w:shd w:val="clear" w:color="auto" w:fill="FFFFFF"/>
        </w:rPr>
        <w:t xml:space="preserve"> </w:t>
      </w:r>
      <w:r w:rsidRPr="00946E01">
        <w:t xml:space="preserve">Enligt artikel 79.2 i lag nr XXXVI från 2012 om nationalförsamlingen ska en person som registrerats som kandidat med slutgiltig och bindande verkan åtnjuta samma immunitet som ledamöterna fram till dess att valresultatet blir slutgiltigt och bindande, och enligt artikel 79.1 i samma lag ska ledamöterna under alla omständigheter åtnjuta immunitet från och med den dag då de blir valda. </w:t>
      </w:r>
      <w:r w:rsidRPr="00946E01">
        <w:rPr>
          <w:color w:val="000000"/>
          <w:shd w:val="clear" w:color="auto" w:fill="FFFFFF"/>
        </w:rPr>
        <w:t xml:space="preserve">Enligt artikel 74.1 i lag XXXVI från 2012 om nationalförsamlingen får ett brottmålsförfarande eller, i händelse av att immuniteten inte upphävs frivilligt i samband med ärendet i fråga, ett </w:t>
      </w:r>
      <w:r w:rsidR="006B0221" w:rsidRPr="00946E01">
        <w:rPr>
          <w:color w:val="000000"/>
          <w:shd w:val="clear" w:color="auto" w:fill="FFFFFF"/>
        </w:rPr>
        <w:t>överträdelse</w:t>
      </w:r>
      <w:r w:rsidRPr="00946E01">
        <w:rPr>
          <w:color w:val="000000"/>
          <w:shd w:val="clear" w:color="auto" w:fill="FFFFFF"/>
        </w:rPr>
        <w:t xml:space="preserve">förfarande inte inledas eller fullföljas och tvångsåtgärder </w:t>
      </w:r>
      <w:r w:rsidR="00CB5CA1" w:rsidRPr="00946E01">
        <w:rPr>
          <w:color w:val="000000"/>
          <w:shd w:val="clear" w:color="auto" w:fill="FFFFFF"/>
        </w:rPr>
        <w:t xml:space="preserve">enligt brottmålsförfarandet </w:t>
      </w:r>
      <w:r w:rsidRPr="00946E01">
        <w:rPr>
          <w:color w:val="000000"/>
          <w:shd w:val="clear" w:color="auto" w:fill="FFFFFF"/>
        </w:rPr>
        <w:t xml:space="preserve">vidtas gentemot en ledamot </w:t>
      </w:r>
      <w:r w:rsidR="00CB5CA1" w:rsidRPr="00946E01">
        <w:rPr>
          <w:color w:val="000000"/>
          <w:shd w:val="clear" w:color="auto" w:fill="FFFFFF"/>
        </w:rPr>
        <w:t>endast med nationalförsamlingens</w:t>
      </w:r>
      <w:r w:rsidRPr="00946E01">
        <w:rPr>
          <w:color w:val="000000"/>
          <w:shd w:val="clear" w:color="auto" w:fill="FFFFFF"/>
        </w:rPr>
        <w:t xml:space="preserve"> föregående samtycke.</w:t>
      </w:r>
    </w:p>
    <w:p w14:paraId="69242815" w14:textId="6112A953" w:rsidR="003A4380" w:rsidRPr="00946E01" w:rsidRDefault="003A4380" w:rsidP="003A4380">
      <w:pPr>
        <w:pStyle w:val="NormalHanging12a"/>
        <w:widowControl/>
      </w:pPr>
      <w:r w:rsidRPr="00946E01">
        <w:t>G.</w:t>
      </w:r>
      <w:r w:rsidRPr="00946E01">
        <w:tab/>
      </w:r>
      <w:r w:rsidR="00435E87" w:rsidRPr="00946E01">
        <w:t xml:space="preserve">Enligt artikel 5.2 i arbetsordningen är parlamentarisk immunitet inte en ledamots personliga privilegium, utan en garanti för hela </w:t>
      </w:r>
      <w:r w:rsidR="00D943C1">
        <w:t>Europa</w:t>
      </w:r>
      <w:r w:rsidR="00435E87" w:rsidRPr="00946E01">
        <w:t>parlamentets och dess ledamöters oberoende.</w:t>
      </w:r>
    </w:p>
    <w:p w14:paraId="2B228E37" w14:textId="58E2BE6B" w:rsidR="003A4380" w:rsidRPr="00946E01" w:rsidRDefault="003A4380" w:rsidP="00435E87">
      <w:pPr>
        <w:pStyle w:val="NormalHanging12a"/>
        <w:widowControl/>
      </w:pPr>
      <w:r w:rsidRPr="00946E01">
        <w:t>H.</w:t>
      </w:r>
      <w:r w:rsidRPr="00946E01">
        <w:tab/>
      </w:r>
      <w:r w:rsidR="00435E87" w:rsidRPr="00946E01">
        <w:t>Syftet med immuniteten som föreskrivs i protokoll nr 7 om Europeiska unionens immunitet och privilegier är att skydda parlamentet och dess ledamöter från rättsliga förfaranden i samband med verksamhet som utförs under utövandet av ämbetet som parlamentsledamot och som inte kan skiljas från detta.</w:t>
      </w:r>
    </w:p>
    <w:p w14:paraId="67B68CA0" w14:textId="2F135B4F" w:rsidR="003A4380" w:rsidRPr="00946E01" w:rsidRDefault="003A4380" w:rsidP="003A4380">
      <w:pPr>
        <w:pStyle w:val="NormalHanging12a"/>
      </w:pPr>
      <w:r w:rsidRPr="00946E01">
        <w:t>I.</w:t>
      </w:r>
      <w:r w:rsidRPr="00946E01">
        <w:tab/>
        <w:t xml:space="preserve">Det framgår av Europeiska unionens domstols rättspraxis att parlamentet har ”ett stort utrymme för skönsmässig bedömning när det gäller vilken linje det avser att följa i ett beslut till följd av en begäran om att upphäva </w:t>
      </w:r>
      <w:r w:rsidR="00F109E5" w:rsidRPr="00946E01">
        <w:t>[</w:t>
      </w:r>
      <w:r w:rsidRPr="00946E01">
        <w:t>...</w:t>
      </w:r>
      <w:r w:rsidR="00F109E5" w:rsidRPr="00946E01">
        <w:t>]</w:t>
      </w:r>
      <w:r w:rsidRPr="00946E01">
        <w:t xml:space="preserve"> immuniteten, på grund av den </w:t>
      </w:r>
      <w:r w:rsidRPr="00946E01">
        <w:lastRenderedPageBreak/>
        <w:t>politiska karaktären hos det beslut det ska fatta”</w:t>
      </w:r>
      <w:r w:rsidRPr="00946E01">
        <w:rPr>
          <w:vertAlign w:val="superscript"/>
        </w:rPr>
        <w:footnoteReference w:id="2"/>
      </w:r>
      <w:r w:rsidRPr="00946E01">
        <w:t>.</w:t>
      </w:r>
    </w:p>
    <w:p w14:paraId="613DBC40" w14:textId="2B6B0B5B" w:rsidR="003A4380" w:rsidRPr="00946E01" w:rsidRDefault="003A4380" w:rsidP="003A4380">
      <w:pPr>
        <w:pStyle w:val="NormalHanging12a"/>
        <w:widowControl/>
      </w:pPr>
      <w:r w:rsidRPr="00946E01">
        <w:t>J.</w:t>
      </w:r>
      <w:r w:rsidRPr="00946E01">
        <w:tab/>
        <w:t>Péter Magyar är ordförande för Tisza-partiet (</w:t>
      </w:r>
      <w:r w:rsidRPr="00946E01">
        <w:rPr>
          <w:i/>
          <w:iCs/>
        </w:rPr>
        <w:t>Tisztelet és Szabadság</w:t>
      </w:r>
      <w:r w:rsidRPr="00946E01">
        <w:t xml:space="preserve"> Párt) och var även det partiets toppkandidat i valet till Europaparlamentet 2024.</w:t>
      </w:r>
      <w:r w:rsidRPr="00946E01">
        <w:rPr>
          <w:rStyle w:val="doceo-font-family-base"/>
          <w:color w:val="1E1E1F"/>
        </w:rPr>
        <w:t xml:space="preserve"> </w:t>
      </w:r>
      <w:r w:rsidRPr="00946E01">
        <w:t>Mi Hazánk Mozgalom deltog också i valet till Europaparlamentet 2024 och kan därmed betraktas som en direkt politisk konkurrent till Péter Magyar. Politiska konkurrenter är normalt sett föremål för mer kritik och polemik i den politiska debatten än medborgare som inte är politiskt aktiva.</w:t>
      </w:r>
      <w:r w:rsidRPr="00946E01">
        <w:rPr>
          <w:rStyle w:val="doceo-font-family-base"/>
          <w:color w:val="1E1E1F"/>
        </w:rPr>
        <w:t xml:space="preserve"> </w:t>
      </w:r>
      <w:r w:rsidR="0015728B">
        <w:rPr>
          <w:rStyle w:val="doceo-font-family-base"/>
          <w:color w:val="1E1E1F"/>
        </w:rPr>
        <w:t>Det förefaller i ungersk rätt att t</w:t>
      </w:r>
      <w:r w:rsidRPr="00946E01">
        <w:rPr>
          <w:rStyle w:val="doceo-font-family-base"/>
          <w:color w:val="1E1E1F"/>
        </w:rPr>
        <w:t xml:space="preserve">alan för förtal </w:t>
      </w:r>
      <w:r w:rsidR="006B0221" w:rsidRPr="00946E01">
        <w:rPr>
          <w:rStyle w:val="doceo-font-family-base"/>
          <w:color w:val="1E1E1F"/>
        </w:rPr>
        <w:t xml:space="preserve">kan </w:t>
      </w:r>
      <w:r w:rsidRPr="00946E01">
        <w:rPr>
          <w:rStyle w:val="doceo-font-family-base"/>
          <w:color w:val="1E1E1F"/>
        </w:rPr>
        <w:t xml:space="preserve">väckas </w:t>
      </w:r>
      <w:r w:rsidR="006F1C74" w:rsidRPr="00946E01">
        <w:rPr>
          <w:rStyle w:val="doceo-font-family-base"/>
          <w:color w:val="1E1E1F"/>
        </w:rPr>
        <w:t>på</w:t>
      </w:r>
      <w:r w:rsidRPr="00946E01">
        <w:rPr>
          <w:rStyle w:val="doceo-font-family-base"/>
          <w:color w:val="1E1E1F"/>
        </w:rPr>
        <w:t xml:space="preserve"> både straffrättslig och civilrättslig </w:t>
      </w:r>
      <w:r w:rsidR="006F1C74" w:rsidRPr="00946E01">
        <w:rPr>
          <w:rStyle w:val="doceo-font-family-base"/>
          <w:color w:val="1E1E1F"/>
        </w:rPr>
        <w:t>grund</w:t>
      </w:r>
      <w:r w:rsidRPr="00946E01">
        <w:rPr>
          <w:rStyle w:val="doceo-font-family-base"/>
          <w:color w:val="1E1E1F"/>
        </w:rPr>
        <w:t xml:space="preserve">, med </w:t>
      </w:r>
      <w:r w:rsidR="006F1C74" w:rsidRPr="00946E01">
        <w:rPr>
          <w:rStyle w:val="doceo-font-family-base"/>
          <w:color w:val="1E1E1F"/>
        </w:rPr>
        <w:t>betydande</w:t>
      </w:r>
      <w:r w:rsidRPr="00946E01">
        <w:rPr>
          <w:rStyle w:val="doceo-font-family-base"/>
          <w:color w:val="1E1E1F"/>
        </w:rPr>
        <w:t xml:space="preserve"> </w:t>
      </w:r>
      <w:r w:rsidR="006F1C74" w:rsidRPr="00946E01">
        <w:rPr>
          <w:rStyle w:val="doceo-font-family-base"/>
          <w:color w:val="1E1E1F"/>
        </w:rPr>
        <w:t>skillnader i</w:t>
      </w:r>
      <w:r w:rsidRPr="00946E01">
        <w:rPr>
          <w:rStyle w:val="doceo-font-family-base"/>
          <w:color w:val="1E1E1F"/>
        </w:rPr>
        <w:t xml:space="preserve"> </w:t>
      </w:r>
      <w:r w:rsidR="006B0221" w:rsidRPr="00946E01">
        <w:rPr>
          <w:rStyle w:val="doceo-font-family-base"/>
          <w:color w:val="1E1E1F"/>
        </w:rPr>
        <w:t xml:space="preserve">respektive </w:t>
      </w:r>
      <w:r w:rsidRPr="00946E01">
        <w:rPr>
          <w:rStyle w:val="doceo-font-family-base"/>
          <w:color w:val="1E1E1F"/>
        </w:rPr>
        <w:t xml:space="preserve">rättsföljder, </w:t>
      </w:r>
      <w:r w:rsidR="006F1C74" w:rsidRPr="00946E01">
        <w:rPr>
          <w:rStyle w:val="doceo-font-family-base"/>
          <w:color w:val="1E1E1F"/>
        </w:rPr>
        <w:t>inbegripet</w:t>
      </w:r>
      <w:r w:rsidRPr="00946E01">
        <w:rPr>
          <w:rStyle w:val="doceo-font-family-base"/>
          <w:color w:val="1E1E1F"/>
        </w:rPr>
        <w:t xml:space="preserve"> fängelse</w:t>
      </w:r>
      <w:r w:rsidR="006F1C74" w:rsidRPr="00946E01">
        <w:rPr>
          <w:rStyle w:val="doceo-font-family-base"/>
          <w:color w:val="1E1E1F"/>
        </w:rPr>
        <w:t>straff</w:t>
      </w:r>
      <w:r w:rsidRPr="00946E01">
        <w:rPr>
          <w:rStyle w:val="doceo-font-family-base"/>
          <w:color w:val="1E1E1F"/>
        </w:rPr>
        <w:t xml:space="preserve">. </w:t>
      </w:r>
      <w:r w:rsidRPr="00946E01">
        <w:t xml:space="preserve">I de </w:t>
      </w:r>
      <w:r w:rsidR="006F1C74" w:rsidRPr="00946E01">
        <w:t xml:space="preserve">föreliggande </w:t>
      </w:r>
      <w:r w:rsidRPr="00946E01">
        <w:t>fall</w:t>
      </w:r>
      <w:r w:rsidR="006F1C74" w:rsidRPr="00946E01">
        <w:t>et</w:t>
      </w:r>
      <w:r w:rsidRPr="00946E01">
        <w:t xml:space="preserve"> ger valet </w:t>
      </w:r>
      <w:r w:rsidR="006F1C74" w:rsidRPr="00946E01">
        <w:t>att vidta</w:t>
      </w:r>
      <w:r w:rsidRPr="00946E01">
        <w:t xml:space="preserve"> straffrättslig</w:t>
      </w:r>
      <w:r w:rsidR="006F1C74" w:rsidRPr="00946E01">
        <w:t>a</w:t>
      </w:r>
      <w:r w:rsidRPr="00946E01">
        <w:t xml:space="preserve"> </w:t>
      </w:r>
      <w:r w:rsidR="006F1C74" w:rsidRPr="00946E01">
        <w:t>åtgärder</w:t>
      </w:r>
      <w:r w:rsidRPr="00946E01">
        <w:t xml:space="preserve"> anledning att betvivla syftet, som möjligen går utöver det legitima syftet att gottgöra den påstådda skadan, och antyder att det som eftersträvas går längre än detta legitima syfte och i själva verket handlar om att skada det anseende som Péter Magyar har som ledamot av Europaparlamentet.</w:t>
      </w:r>
    </w:p>
    <w:p w14:paraId="186BD332" w14:textId="35751752" w:rsidR="003A4380" w:rsidRPr="00946E01" w:rsidRDefault="003A4380" w:rsidP="003A4380">
      <w:pPr>
        <w:pStyle w:val="doceo-line-height-base"/>
        <w:shd w:val="clear" w:color="auto" w:fill="FFFFFF"/>
        <w:spacing w:before="0" w:beforeAutospacing="0" w:after="240" w:afterAutospacing="0"/>
        <w:ind w:left="567" w:hanging="567"/>
        <w:rPr>
          <w:rFonts w:ascii="Helvetica" w:hAnsi="Helvetica"/>
          <w:color w:val="1E1E1F"/>
        </w:rPr>
      </w:pPr>
      <w:r w:rsidRPr="00946E01">
        <w:rPr>
          <w:rStyle w:val="doceo-font-family-base"/>
          <w:color w:val="1E1E1F"/>
        </w:rPr>
        <w:t>K.</w:t>
      </w:r>
      <w:r w:rsidRPr="00946E01">
        <w:rPr>
          <w:rStyle w:val="doceo-font-family-base"/>
          <w:color w:val="1E1E1F"/>
        </w:rPr>
        <w:tab/>
      </w:r>
      <w:r w:rsidRPr="00946E01">
        <w:t xml:space="preserve">Ovanstående uppgifter väcker allvarlig </w:t>
      </w:r>
      <w:r w:rsidR="0015728B">
        <w:t>fruktan</w:t>
      </w:r>
      <w:r w:rsidRPr="00946E01">
        <w:t xml:space="preserve"> om att avsikten kan vara att skada Péter Magyars politiska verksamhet, särskilt den verksamhet han utför som ledamot av Europaparlamentet.</w:t>
      </w:r>
    </w:p>
    <w:p w14:paraId="7B91E6DF" w14:textId="77777777" w:rsidR="003A4380" w:rsidRPr="00946E01" w:rsidRDefault="003A4380" w:rsidP="003A4380">
      <w:pPr>
        <w:pStyle w:val="doceo-line-height-base"/>
        <w:shd w:val="clear" w:color="auto" w:fill="FFFFFF"/>
        <w:spacing w:before="0" w:beforeAutospacing="0" w:after="240" w:afterAutospacing="0"/>
        <w:ind w:left="567" w:hanging="567"/>
        <w:rPr>
          <w:rFonts w:ascii="Helvetica" w:hAnsi="Helvetica"/>
          <w:color w:val="1E1E1F"/>
        </w:rPr>
      </w:pPr>
      <w:r w:rsidRPr="00946E01">
        <w:rPr>
          <w:rStyle w:val="doceo-font-family-base"/>
          <w:color w:val="1E1E1F"/>
        </w:rPr>
        <w:t>L.</w:t>
      </w:r>
      <w:r w:rsidRPr="00946E01">
        <w:rPr>
          <w:rStyle w:val="doceo-font-family-base"/>
          <w:rFonts w:ascii="Helvetica" w:hAnsi="Helvetica"/>
          <w:color w:val="1E1E1F"/>
        </w:rPr>
        <w:tab/>
      </w:r>
      <w:r w:rsidRPr="00946E01">
        <w:t xml:space="preserve">Detta framstår därmed som ett fall där det kan antas att </w:t>
      </w:r>
      <w:r w:rsidRPr="00946E01">
        <w:rPr>
          <w:i/>
        </w:rPr>
        <w:t>fumus persecutionis</w:t>
      </w:r>
      <w:r w:rsidRPr="00946E01">
        <w:t xml:space="preserve"> föreligger, det vill säga att det finns ”konkreta uppgifter”</w:t>
      </w:r>
      <w:r w:rsidRPr="00946E01">
        <w:rPr>
          <w:rStyle w:val="FootnoteReference"/>
          <w:color w:val="1E1E1F"/>
        </w:rPr>
        <w:footnoteReference w:id="3"/>
      </w:r>
      <w:r w:rsidRPr="00946E01">
        <w:t xml:space="preserve"> som visar att de ifrågavarande rättsliga åtgärderna har vidtagits i avsikt att skada Péter Magyars politiska verksamhet genom begäran om upphävande av hans immunitet, i synnerhet då han ställde upp i valet till Europaparlamentet 2024 som toppkandidat för sitt politiska parti.</w:t>
      </w:r>
    </w:p>
    <w:p w14:paraId="275304AE" w14:textId="77777777" w:rsidR="003A4380" w:rsidRPr="00946E01" w:rsidRDefault="003A4380" w:rsidP="003A4380">
      <w:pPr>
        <w:pStyle w:val="NormalHanging12a"/>
        <w:widowControl/>
      </w:pPr>
      <w:r w:rsidRPr="00946E01">
        <w:t>M.</w:t>
      </w:r>
      <w:r w:rsidRPr="00946E01">
        <w:tab/>
        <w:t>Å ena sidan kan parlamentet inte likställas med en domstol, och å andra sidan kan parlamentsledamoten, inom ramen för ett förfarande för att upphäva immunitet, inte betraktas som ”anklagad”</w:t>
      </w:r>
      <w:r w:rsidRPr="00946E01">
        <w:rPr>
          <w:vertAlign w:val="superscript"/>
        </w:rPr>
        <w:footnoteReference w:id="4"/>
      </w:r>
      <w:r w:rsidRPr="00946E01">
        <w:t>.</w:t>
      </w:r>
    </w:p>
    <w:p w14:paraId="36E750DE" w14:textId="77777777" w:rsidR="003A4380" w:rsidRPr="00946E01" w:rsidRDefault="003A4380" w:rsidP="003A4380">
      <w:pPr>
        <w:pStyle w:val="NormalHanging12a"/>
      </w:pPr>
      <w:r w:rsidRPr="00946E01">
        <w:t>1.</w:t>
      </w:r>
      <w:r w:rsidRPr="00946E01">
        <w:tab/>
        <w:t>Europaparlamentet beslutar att inte upphäva Péter Magyars immunitet.</w:t>
      </w:r>
    </w:p>
    <w:p w14:paraId="63161D54" w14:textId="2C565628" w:rsidR="0094068D" w:rsidRPr="00946E01" w:rsidRDefault="003A4380" w:rsidP="0094068D">
      <w:pPr>
        <w:pStyle w:val="NormalHanging12a"/>
      </w:pPr>
      <w:r w:rsidRPr="00946E01">
        <w:t>2.</w:t>
      </w:r>
      <w:r w:rsidRPr="00946E01">
        <w:tab/>
        <w:t>Europaparlamentet uppdrar åt talmannen att omedelbart översända detta beslut och det ansvariga utskottets betänkande till de behöriga myndigheterna i Ungern och till Péter Magyar.</w:t>
      </w:r>
    </w:p>
    <w:p w14:paraId="5551A96D" w14:textId="781A2505" w:rsidR="00E365E1" w:rsidRPr="00946E01" w:rsidRDefault="00E365E1" w:rsidP="00D96E58"/>
    <w:sectPr w:rsidR="00E365E1" w:rsidRPr="00946E01" w:rsidSect="009406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183F0" w14:textId="77777777" w:rsidR="00D96E58" w:rsidRPr="0094068D" w:rsidRDefault="00D96E58">
      <w:r w:rsidRPr="0094068D">
        <w:separator/>
      </w:r>
    </w:p>
  </w:endnote>
  <w:endnote w:type="continuationSeparator" w:id="0">
    <w:p w14:paraId="6AA5A74E" w14:textId="77777777" w:rsidR="00D96E58" w:rsidRPr="0094068D" w:rsidRDefault="00D96E58">
      <w:r w:rsidRPr="009406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9FCF" w14:textId="77777777" w:rsidR="00064002" w:rsidRPr="009406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F709F" w14:textId="77777777" w:rsidR="00064002" w:rsidRPr="009406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03A69" w14:textId="77777777" w:rsidR="00064002" w:rsidRPr="009406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D1946" w14:textId="77777777" w:rsidR="00D96E58" w:rsidRPr="0094068D" w:rsidRDefault="00D96E58">
      <w:r w:rsidRPr="0094068D">
        <w:separator/>
      </w:r>
    </w:p>
  </w:footnote>
  <w:footnote w:type="continuationSeparator" w:id="0">
    <w:p w14:paraId="7AC75CAA" w14:textId="77777777" w:rsidR="00D96E58" w:rsidRPr="0094068D" w:rsidRDefault="00D96E58">
      <w:r w:rsidRPr="0094068D">
        <w:continuationSeparator/>
      </w:r>
    </w:p>
  </w:footnote>
  <w:footnote w:id="1">
    <w:p w14:paraId="7DD79D0E" w14:textId="13AE5287" w:rsidR="003A4380" w:rsidRPr="0094068D" w:rsidRDefault="003A4380" w:rsidP="0094068D">
      <w:pPr>
        <w:pStyle w:val="FootnoteText"/>
        <w:ind w:left="567" w:hanging="567"/>
        <w:rPr>
          <w:sz w:val="24"/>
          <w:lang w:val="sv-SE"/>
        </w:rPr>
      </w:pPr>
      <w:r w:rsidRPr="0094068D">
        <w:rPr>
          <w:rStyle w:val="FootnoteReference"/>
          <w:sz w:val="24"/>
          <w:lang w:val="sv-SE"/>
        </w:rPr>
        <w:footnoteRef/>
      </w:r>
      <w:r w:rsidR="0094068D" w:rsidRPr="0094068D">
        <w:rPr>
          <w:sz w:val="24"/>
          <w:lang w:val="sv-SE"/>
        </w:rPr>
        <w:t xml:space="preserve"> </w:t>
      </w:r>
      <w:r w:rsidR="0094068D" w:rsidRPr="0094068D">
        <w:rPr>
          <w:sz w:val="24"/>
          <w:lang w:val="sv-SE"/>
        </w:rPr>
        <w:tab/>
      </w:r>
      <w:r w:rsidRPr="0094068D">
        <w:rPr>
          <w:sz w:val="24"/>
          <w:lang w:val="sv-SE"/>
        </w:rPr>
        <w:t>Domstolens dom av den 21 oktober 2008, Marra</w:t>
      </w:r>
      <w:r w:rsidR="00DA5AB0" w:rsidRPr="006E404A">
        <w:rPr>
          <w:szCs w:val="24"/>
          <w:lang w:val="sv-SE"/>
        </w:rPr>
        <w:t>/</w:t>
      </w:r>
      <w:r w:rsidR="00DA5AB0" w:rsidRPr="00946E01">
        <w:rPr>
          <w:sz w:val="24"/>
          <w:szCs w:val="24"/>
          <w:lang w:val="sv-SE"/>
        </w:rPr>
        <w:t>De Gregorio och Clemente</w:t>
      </w:r>
      <w:r w:rsidRPr="0094068D">
        <w:rPr>
          <w:sz w:val="24"/>
          <w:lang w:val="sv-SE"/>
        </w:rPr>
        <w:t>,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 tribunalens dom av den 5 juli 2023, Puigdemont i Casamajó m.fl./parlamentet, T-272/21, ECLI:EU:T:2023:373.</w:t>
      </w:r>
    </w:p>
  </w:footnote>
  <w:footnote w:id="2">
    <w:p w14:paraId="53B10D9B" w14:textId="46CB3263" w:rsidR="003A4380" w:rsidRPr="0094068D" w:rsidRDefault="003A4380" w:rsidP="0094068D">
      <w:pPr>
        <w:pStyle w:val="FootnoteText"/>
        <w:ind w:left="567" w:hanging="567"/>
        <w:rPr>
          <w:sz w:val="24"/>
          <w:lang w:val="sv-SE"/>
        </w:rPr>
      </w:pPr>
      <w:r w:rsidRPr="0094068D">
        <w:rPr>
          <w:rStyle w:val="FootnoteReference"/>
          <w:sz w:val="24"/>
          <w:lang w:val="sv-SE"/>
        </w:rPr>
        <w:footnoteRef/>
      </w:r>
      <w:r w:rsidR="0094068D" w:rsidRPr="0094068D">
        <w:rPr>
          <w:sz w:val="24"/>
          <w:lang w:val="sv-SE"/>
        </w:rPr>
        <w:t xml:space="preserve"> </w:t>
      </w:r>
      <w:r w:rsidR="0094068D" w:rsidRPr="0094068D">
        <w:rPr>
          <w:sz w:val="24"/>
          <w:lang w:val="sv-SE"/>
        </w:rPr>
        <w:tab/>
      </w:r>
      <w:r w:rsidRPr="0094068D">
        <w:rPr>
          <w:sz w:val="24"/>
          <w:lang w:val="sv-SE"/>
        </w:rPr>
        <w:t>Tribunalens dom av den 17 januari 2013, Gollnisch/parlamentet, T-346/11 och T-347/11, ECLI:EU:T:2013:23, punkt 59 och där angiven rättspraxis.</w:t>
      </w:r>
    </w:p>
  </w:footnote>
  <w:footnote w:id="3">
    <w:p w14:paraId="4A63E653" w14:textId="78BC7917" w:rsidR="003A4380" w:rsidRPr="0094068D" w:rsidRDefault="003A4380" w:rsidP="0094068D">
      <w:pPr>
        <w:pStyle w:val="FootnoteText"/>
        <w:ind w:left="567" w:hanging="567"/>
        <w:rPr>
          <w:sz w:val="24"/>
          <w:lang w:val="sv-SE"/>
        </w:rPr>
      </w:pPr>
      <w:r w:rsidRPr="0094068D">
        <w:rPr>
          <w:rStyle w:val="FootnoteReference"/>
          <w:sz w:val="24"/>
          <w:lang w:val="sv-SE"/>
        </w:rPr>
        <w:footnoteRef/>
      </w:r>
      <w:r w:rsidR="0094068D" w:rsidRPr="0094068D">
        <w:rPr>
          <w:sz w:val="24"/>
          <w:lang w:val="sv-SE"/>
        </w:rPr>
        <w:t xml:space="preserve"> </w:t>
      </w:r>
      <w:r w:rsidR="0094068D" w:rsidRPr="0094068D">
        <w:rPr>
          <w:sz w:val="24"/>
          <w:lang w:val="sv-SE"/>
        </w:rPr>
        <w:tab/>
      </w:r>
      <w:r w:rsidRPr="0094068D">
        <w:rPr>
          <w:sz w:val="24"/>
          <w:lang w:val="sv-SE"/>
        </w:rPr>
        <w:t>Domstolens dom av den 17 september 2020, Troszczynski/parlamentet, C-12/19, ECLI:EU:C:2020:725, punkt 26.</w:t>
      </w:r>
    </w:p>
  </w:footnote>
  <w:footnote w:id="4">
    <w:p w14:paraId="7587D105" w14:textId="17803FE9" w:rsidR="003A4380" w:rsidRPr="0094068D" w:rsidRDefault="003A4380" w:rsidP="0094068D">
      <w:pPr>
        <w:pStyle w:val="FootnoteText"/>
        <w:ind w:left="567" w:hanging="567"/>
        <w:rPr>
          <w:sz w:val="24"/>
          <w:lang w:val="sv-SE"/>
        </w:rPr>
      </w:pPr>
      <w:r w:rsidRPr="0094068D">
        <w:rPr>
          <w:rStyle w:val="FootnoteReference"/>
          <w:sz w:val="24"/>
          <w:lang w:val="sv-SE"/>
        </w:rPr>
        <w:footnoteRef/>
      </w:r>
      <w:r w:rsidR="0094068D" w:rsidRPr="0094068D">
        <w:rPr>
          <w:sz w:val="24"/>
          <w:lang w:val="sv-SE"/>
        </w:rPr>
        <w:t xml:space="preserve"> </w:t>
      </w:r>
      <w:r w:rsidR="0094068D" w:rsidRPr="0094068D">
        <w:rPr>
          <w:sz w:val="24"/>
          <w:lang w:val="sv-SE"/>
        </w:rPr>
        <w:tab/>
      </w:r>
      <w:r w:rsidRPr="0094068D">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9C33" w14:textId="77777777" w:rsidR="00064002" w:rsidRPr="009406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BDFF" w14:textId="77777777" w:rsidR="00064002" w:rsidRPr="009406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491E" w14:textId="77777777" w:rsidR="00064002" w:rsidRPr="009406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572053">
    <w:abstractNumId w:val="9"/>
  </w:num>
  <w:num w:numId="2" w16cid:durableId="1927691447">
    <w:abstractNumId w:val="9"/>
  </w:num>
  <w:num w:numId="3" w16cid:durableId="283853505">
    <w:abstractNumId w:val="7"/>
  </w:num>
  <w:num w:numId="4" w16cid:durableId="1643192736">
    <w:abstractNumId w:val="7"/>
  </w:num>
  <w:num w:numId="5" w16cid:durableId="1511027372">
    <w:abstractNumId w:val="6"/>
  </w:num>
  <w:num w:numId="6" w16cid:durableId="942147481">
    <w:abstractNumId w:val="6"/>
  </w:num>
  <w:num w:numId="7" w16cid:durableId="1046489625">
    <w:abstractNumId w:val="5"/>
  </w:num>
  <w:num w:numId="8" w16cid:durableId="2041079019">
    <w:abstractNumId w:val="5"/>
  </w:num>
  <w:num w:numId="9" w16cid:durableId="2091614134">
    <w:abstractNumId w:val="4"/>
  </w:num>
  <w:num w:numId="10" w16cid:durableId="1145124339">
    <w:abstractNumId w:val="4"/>
  </w:num>
  <w:num w:numId="11" w16cid:durableId="1050032314">
    <w:abstractNumId w:val="8"/>
  </w:num>
  <w:num w:numId="12" w16cid:durableId="399448401">
    <w:abstractNumId w:val="8"/>
  </w:num>
  <w:num w:numId="13" w16cid:durableId="375858559">
    <w:abstractNumId w:val="3"/>
  </w:num>
  <w:num w:numId="14" w16cid:durableId="890268080">
    <w:abstractNumId w:val="3"/>
  </w:num>
  <w:num w:numId="15" w16cid:durableId="815146424">
    <w:abstractNumId w:val="2"/>
  </w:num>
  <w:num w:numId="16" w16cid:durableId="320697083">
    <w:abstractNumId w:val="2"/>
  </w:num>
  <w:num w:numId="17" w16cid:durableId="1668899916">
    <w:abstractNumId w:val="1"/>
  </w:num>
  <w:num w:numId="18" w16cid:durableId="1021248890">
    <w:abstractNumId w:val="1"/>
  </w:num>
  <w:num w:numId="19" w16cid:durableId="83887653">
    <w:abstractNumId w:val="0"/>
  </w:num>
  <w:num w:numId="20" w16cid:durableId="1383484133">
    <w:abstractNumId w:val="0"/>
  </w:num>
  <w:num w:numId="21" w16cid:durableId="1340427178">
    <w:abstractNumId w:val="9"/>
  </w:num>
  <w:num w:numId="22" w16cid:durableId="1896353858">
    <w:abstractNumId w:val="7"/>
  </w:num>
  <w:num w:numId="23" w16cid:durableId="440416126">
    <w:abstractNumId w:val="6"/>
  </w:num>
  <w:num w:numId="24" w16cid:durableId="607205175">
    <w:abstractNumId w:val="5"/>
  </w:num>
  <w:num w:numId="25" w16cid:durableId="1220940191">
    <w:abstractNumId w:val="4"/>
  </w:num>
  <w:num w:numId="26" w16cid:durableId="622543590">
    <w:abstractNumId w:val="8"/>
  </w:num>
  <w:num w:numId="27" w16cid:durableId="378629088">
    <w:abstractNumId w:val="3"/>
  </w:num>
  <w:num w:numId="28" w16cid:durableId="1820030277">
    <w:abstractNumId w:val="2"/>
  </w:num>
  <w:num w:numId="29" w16cid:durableId="1597521923">
    <w:abstractNumId w:val="1"/>
  </w:num>
  <w:num w:numId="30" w16cid:durableId="2117477704">
    <w:abstractNumId w:val="0"/>
  </w:num>
  <w:num w:numId="31" w16cid:durableId="673267648">
    <w:abstractNumId w:val="9"/>
  </w:num>
  <w:num w:numId="32" w16cid:durableId="266499608">
    <w:abstractNumId w:val="7"/>
  </w:num>
  <w:num w:numId="33" w16cid:durableId="300424059">
    <w:abstractNumId w:val="6"/>
  </w:num>
  <w:num w:numId="34" w16cid:durableId="1112289732">
    <w:abstractNumId w:val="5"/>
  </w:num>
  <w:num w:numId="35" w16cid:durableId="1862009595">
    <w:abstractNumId w:val="4"/>
  </w:num>
  <w:num w:numId="36" w16cid:durableId="1031221183">
    <w:abstractNumId w:val="8"/>
  </w:num>
  <w:num w:numId="37" w16cid:durableId="91363126">
    <w:abstractNumId w:val="3"/>
  </w:num>
  <w:num w:numId="38" w16cid:durableId="541088917">
    <w:abstractNumId w:val="2"/>
  </w:num>
  <w:num w:numId="39" w16cid:durableId="188952449">
    <w:abstractNumId w:val="1"/>
  </w:num>
  <w:num w:numId="40" w16cid:durableId="252786202">
    <w:abstractNumId w:val="0"/>
  </w:num>
  <w:num w:numId="41" w16cid:durableId="893269743">
    <w:abstractNumId w:val="10"/>
  </w:num>
  <w:num w:numId="42" w16cid:durableId="724913343">
    <w:abstractNumId w:val="10"/>
  </w:num>
  <w:num w:numId="43" w16cid:durableId="394280695">
    <w:abstractNumId w:val="10"/>
  </w:num>
  <w:num w:numId="44" w16cid:durableId="1040083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SV"/>
    <w:docVar w:name="dvnumam" w:val="0"/>
    <w:docVar w:name="dvpe" w:val="775.580"/>
    <w:docVar w:name="dvrapporteur" w:val="Föredragande: "/>
    <w:docVar w:name="dvtitre" w:val="Europaparlamentets beslut av den xx xx 2025 om begäran om upphävande av Péter Magyars immunitet(2025/2096(IMM))"/>
  </w:docVars>
  <w:rsids>
    <w:rsidRoot w:val="00D96E58"/>
    <w:rsid w:val="00002272"/>
    <w:rsid w:val="00032342"/>
    <w:rsid w:val="00032A82"/>
    <w:rsid w:val="00064002"/>
    <w:rsid w:val="000677B9"/>
    <w:rsid w:val="000831BA"/>
    <w:rsid w:val="000A42CC"/>
    <w:rsid w:val="000B62FD"/>
    <w:rsid w:val="000E7DD9"/>
    <w:rsid w:val="0010095E"/>
    <w:rsid w:val="00125B37"/>
    <w:rsid w:val="0015728B"/>
    <w:rsid w:val="00183BF3"/>
    <w:rsid w:val="00187494"/>
    <w:rsid w:val="001C5E72"/>
    <w:rsid w:val="001F32AE"/>
    <w:rsid w:val="002767FF"/>
    <w:rsid w:val="002B18FE"/>
    <w:rsid w:val="002B5493"/>
    <w:rsid w:val="00337E4E"/>
    <w:rsid w:val="00343214"/>
    <w:rsid w:val="00361C00"/>
    <w:rsid w:val="00395FA1"/>
    <w:rsid w:val="003A4380"/>
    <w:rsid w:val="003B3AE7"/>
    <w:rsid w:val="003E15D4"/>
    <w:rsid w:val="00411CCE"/>
    <w:rsid w:val="0041666E"/>
    <w:rsid w:val="00421060"/>
    <w:rsid w:val="00435E87"/>
    <w:rsid w:val="00471C19"/>
    <w:rsid w:val="004867E3"/>
    <w:rsid w:val="00494A28"/>
    <w:rsid w:val="004C0004"/>
    <w:rsid w:val="004C5D52"/>
    <w:rsid w:val="0050519A"/>
    <w:rsid w:val="005072A1"/>
    <w:rsid w:val="00514517"/>
    <w:rsid w:val="00545827"/>
    <w:rsid w:val="00560270"/>
    <w:rsid w:val="005C2568"/>
    <w:rsid w:val="005F1B17"/>
    <w:rsid w:val="006037C0"/>
    <w:rsid w:val="00631C04"/>
    <w:rsid w:val="006631B6"/>
    <w:rsid w:val="00680577"/>
    <w:rsid w:val="006B0221"/>
    <w:rsid w:val="006C0AFE"/>
    <w:rsid w:val="006F1C7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68D"/>
    <w:rsid w:val="00946E01"/>
    <w:rsid w:val="009509D8"/>
    <w:rsid w:val="00950B64"/>
    <w:rsid w:val="00981893"/>
    <w:rsid w:val="009A4C12"/>
    <w:rsid w:val="00A1687D"/>
    <w:rsid w:val="00A43E52"/>
    <w:rsid w:val="00A4678D"/>
    <w:rsid w:val="00A778C7"/>
    <w:rsid w:val="00AB441E"/>
    <w:rsid w:val="00AB6293"/>
    <w:rsid w:val="00AE0928"/>
    <w:rsid w:val="00AF3B82"/>
    <w:rsid w:val="00B12E95"/>
    <w:rsid w:val="00B22876"/>
    <w:rsid w:val="00B558F0"/>
    <w:rsid w:val="00B90F1A"/>
    <w:rsid w:val="00BD48FE"/>
    <w:rsid w:val="00BD7BD8"/>
    <w:rsid w:val="00BE6ADC"/>
    <w:rsid w:val="00C05BFE"/>
    <w:rsid w:val="00C23CD4"/>
    <w:rsid w:val="00C60AE7"/>
    <w:rsid w:val="00C61C0C"/>
    <w:rsid w:val="00C941CB"/>
    <w:rsid w:val="00CB5CA1"/>
    <w:rsid w:val="00CC2357"/>
    <w:rsid w:val="00CF071A"/>
    <w:rsid w:val="00D058B8"/>
    <w:rsid w:val="00D56C11"/>
    <w:rsid w:val="00D834A0"/>
    <w:rsid w:val="00D872DF"/>
    <w:rsid w:val="00D91E21"/>
    <w:rsid w:val="00D943C1"/>
    <w:rsid w:val="00D96E58"/>
    <w:rsid w:val="00DA5AB0"/>
    <w:rsid w:val="00DA7FCD"/>
    <w:rsid w:val="00E365E1"/>
    <w:rsid w:val="00E820A4"/>
    <w:rsid w:val="00EB006A"/>
    <w:rsid w:val="00EB4772"/>
    <w:rsid w:val="00ED169E"/>
    <w:rsid w:val="00ED4235"/>
    <w:rsid w:val="00F04346"/>
    <w:rsid w:val="00F0710B"/>
    <w:rsid w:val="00F075DC"/>
    <w:rsid w:val="00F109E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5E3A5"/>
  <w15:chartTrackingRefBased/>
  <w15:docId w15:val="{116EF619-1479-4532-BAF7-11455820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A4380"/>
    <w:pPr>
      <w:keepNext/>
      <w:spacing w:after="480"/>
      <w:jc w:val="center"/>
    </w:pPr>
    <w:rPr>
      <w:rFonts w:ascii="Arial" w:hAnsi="Arial" w:cs="Arial"/>
      <w:b/>
    </w:rPr>
  </w:style>
  <w:style w:type="paragraph" w:customStyle="1" w:styleId="NormalBold">
    <w:name w:val="NormalBold"/>
    <w:basedOn w:val="Normal"/>
    <w:rsid w:val="003A4380"/>
    <w:rPr>
      <w:b/>
    </w:rPr>
  </w:style>
  <w:style w:type="paragraph" w:customStyle="1" w:styleId="NormalHanging12a">
    <w:name w:val="NormalHanging12a"/>
    <w:basedOn w:val="Normal"/>
    <w:rsid w:val="003A4380"/>
    <w:pPr>
      <w:spacing w:after="240"/>
      <w:ind w:left="567" w:hanging="567"/>
    </w:pPr>
  </w:style>
  <w:style w:type="paragraph" w:customStyle="1" w:styleId="EPComma">
    <w:name w:val="EPComma"/>
    <w:basedOn w:val="Normal"/>
    <w:rsid w:val="003A4380"/>
    <w:pPr>
      <w:spacing w:before="480" w:after="240"/>
    </w:pPr>
  </w:style>
  <w:style w:type="character" w:customStyle="1" w:styleId="doceo-font-family-base">
    <w:name w:val="doceo-font-family-base"/>
    <w:basedOn w:val="DefaultParagraphFont"/>
    <w:rsid w:val="003A4380"/>
  </w:style>
  <w:style w:type="paragraph" w:customStyle="1" w:styleId="doceo-line-height-base">
    <w:name w:val="doceo-line-height-base"/>
    <w:basedOn w:val="Normal"/>
    <w:rsid w:val="003A4380"/>
    <w:pPr>
      <w:widowControl/>
      <w:spacing w:before="100" w:beforeAutospacing="1" w:after="100" w:afterAutospacing="1"/>
    </w:pPr>
    <w:rPr>
      <w:szCs w:val="24"/>
    </w:rPr>
  </w:style>
  <w:style w:type="paragraph" w:styleId="Revision">
    <w:name w:val="Revision"/>
    <w:hidden/>
    <w:uiPriority w:val="99"/>
    <w:semiHidden/>
    <w:rsid w:val="00032A82"/>
    <w:rPr>
      <w:sz w:val="24"/>
      <w:lang w:val="sv-SE"/>
    </w:rPr>
  </w:style>
  <w:style w:type="character" w:styleId="CommentReference">
    <w:name w:val="annotation reference"/>
    <w:basedOn w:val="DefaultParagraphFont"/>
    <w:rsid w:val="00435E87"/>
    <w:rPr>
      <w:sz w:val="16"/>
      <w:szCs w:val="16"/>
    </w:rPr>
  </w:style>
  <w:style w:type="paragraph" w:styleId="CommentText">
    <w:name w:val="annotation text"/>
    <w:basedOn w:val="Normal"/>
    <w:link w:val="CommentTextChar"/>
    <w:rsid w:val="00435E87"/>
    <w:rPr>
      <w:sz w:val="20"/>
    </w:rPr>
  </w:style>
  <w:style w:type="character" w:customStyle="1" w:styleId="CommentTextChar">
    <w:name w:val="Comment Text Char"/>
    <w:basedOn w:val="DefaultParagraphFont"/>
    <w:link w:val="CommentText"/>
    <w:rsid w:val="00435E87"/>
    <w:rPr>
      <w:lang w:val="sv-SE"/>
    </w:rPr>
  </w:style>
  <w:style w:type="paragraph" w:styleId="CommentSubject">
    <w:name w:val="annotation subject"/>
    <w:basedOn w:val="CommentText"/>
    <w:next w:val="CommentText"/>
    <w:link w:val="CommentSubjectChar"/>
    <w:rsid w:val="00435E87"/>
    <w:rPr>
      <w:b/>
      <w:bCs/>
    </w:rPr>
  </w:style>
  <w:style w:type="character" w:customStyle="1" w:styleId="CommentSubjectChar">
    <w:name w:val="Comment Subject Char"/>
    <w:basedOn w:val="CommentTextChar"/>
    <w:link w:val="CommentSubject"/>
    <w:rsid w:val="00435E87"/>
    <w:rPr>
      <w:b/>
      <w:bCs/>
      <w:lang w:val="sv-SE"/>
    </w:rPr>
  </w:style>
  <w:style w:type="character" w:styleId="Hyperlink">
    <w:name w:val="Hyperlink"/>
    <w:basedOn w:val="DefaultParagraphFont"/>
    <w:rsid w:val="00435E87"/>
    <w:rPr>
      <w:color w:val="0563C1" w:themeColor="hyperlink"/>
      <w:u w:val="single"/>
    </w:rPr>
  </w:style>
  <w:style w:type="character" w:styleId="UnresolvedMention">
    <w:name w:val="Unresolved Mention"/>
    <w:basedOn w:val="DefaultParagraphFont"/>
    <w:uiPriority w:val="99"/>
    <w:semiHidden/>
    <w:unhideWhenUsed/>
    <w:rsid w:val="00435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2025-10-07T12:28:00Z</dcterms:created>
  <dcterms:modified xsi:type="dcterms:W3CDTF">2025-10-07T12:28:00Z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P10_TA-PROV(2025)0205_</vt:lpwstr>
  </property>
  <property fmtid="{D5CDD505-2E9C-101B-9397-08002B2CF9AE}" pid="4" name="&lt;Type&gt;">
    <vt:lpwstr>RR</vt:lpwstr>
  </property>
</Properties>
</file>