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72AF" w14:paraId="6D1FC657" w14:textId="77777777" w:rsidTr="0010095E">
        <w:trPr>
          <w:trHeight w:hRule="exact" w:val="1418"/>
        </w:trPr>
        <w:tc>
          <w:tcPr>
            <w:tcW w:w="6804" w:type="dxa"/>
            <w:shd w:val="clear" w:color="auto" w:fill="auto"/>
            <w:vAlign w:val="center"/>
          </w:tcPr>
          <w:p w14:paraId="3CAC33AF" w14:textId="558D7B89" w:rsidR="00751A4A" w:rsidRPr="000772AF" w:rsidRDefault="00A87659" w:rsidP="0010095E">
            <w:pPr>
              <w:pStyle w:val="EPName"/>
            </w:pPr>
            <w:r w:rsidRPr="000772AF">
              <w:t>Europa-Parlamentet</w:t>
            </w:r>
          </w:p>
          <w:p w14:paraId="3547886E" w14:textId="77777777" w:rsidR="00751A4A" w:rsidRPr="000772AF" w:rsidRDefault="005F1B17" w:rsidP="005F1B17">
            <w:pPr>
              <w:pStyle w:val="EPTerm"/>
              <w:rPr>
                <w:rStyle w:val="HideTWBExt"/>
                <w:noProof w:val="0"/>
                <w:vanish w:val="0"/>
                <w:color w:val="auto"/>
              </w:rPr>
            </w:pPr>
            <w:r w:rsidRPr="000772AF">
              <w:t>2024</w:t>
            </w:r>
            <w:r w:rsidR="00817416" w:rsidRPr="000772AF">
              <w:t>-202</w:t>
            </w:r>
            <w:r w:rsidRPr="000772AF">
              <w:t>9</w:t>
            </w:r>
          </w:p>
        </w:tc>
        <w:tc>
          <w:tcPr>
            <w:tcW w:w="2268" w:type="dxa"/>
            <w:shd w:val="clear" w:color="auto" w:fill="auto"/>
          </w:tcPr>
          <w:p w14:paraId="1449C539" w14:textId="77777777" w:rsidR="00751A4A" w:rsidRPr="000772AF" w:rsidRDefault="00187494" w:rsidP="0010095E">
            <w:pPr>
              <w:pStyle w:val="EPLogo"/>
            </w:pPr>
            <w:r w:rsidRPr="000772AF">
              <w:rPr>
                <w:noProof/>
                <w:lang w:eastAsia="ja-JP"/>
              </w:rPr>
              <w:drawing>
                <wp:inline distT="0" distB="0" distL="0" distR="0" wp14:anchorId="4C7EBE9F" wp14:editId="3563B3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08DF01" w14:textId="77777777" w:rsidR="00D058B8" w:rsidRPr="000772AF" w:rsidRDefault="00D058B8" w:rsidP="004C5D52">
      <w:pPr>
        <w:pStyle w:val="LineTop"/>
      </w:pPr>
    </w:p>
    <w:p w14:paraId="2A601CAE" w14:textId="77777777" w:rsidR="00680577" w:rsidRPr="000772AF" w:rsidRDefault="00A87659" w:rsidP="00680577">
      <w:pPr>
        <w:pStyle w:val="EPBodyTA1"/>
      </w:pPr>
      <w:r w:rsidRPr="000772AF">
        <w:t>VEDTAGNE TEKSTER</w:t>
      </w:r>
    </w:p>
    <w:p w14:paraId="443907AB" w14:textId="77777777" w:rsidR="00D058B8" w:rsidRPr="000772AF" w:rsidRDefault="00D058B8" w:rsidP="00D058B8">
      <w:pPr>
        <w:pStyle w:val="LineBottom"/>
      </w:pPr>
    </w:p>
    <w:p w14:paraId="5AE7F766" w14:textId="62670354" w:rsidR="00A87659" w:rsidRPr="000772AF" w:rsidRDefault="00A87659" w:rsidP="00A87659">
      <w:pPr>
        <w:pStyle w:val="ATHeading1"/>
      </w:pPr>
      <w:bookmarkStart w:id="0" w:name="TANumber"/>
      <w:r w:rsidRPr="000772AF">
        <w:t>P10_</w:t>
      </w:r>
      <w:proofErr w:type="gramStart"/>
      <w:r w:rsidRPr="000772AF">
        <w:t>TA(</w:t>
      </w:r>
      <w:proofErr w:type="gramEnd"/>
      <w:r w:rsidRPr="000772AF">
        <w:t>2025)0</w:t>
      </w:r>
      <w:bookmarkEnd w:id="0"/>
      <w:r w:rsidR="00792C9D">
        <w:t>206</w:t>
      </w:r>
    </w:p>
    <w:p w14:paraId="100ADA73" w14:textId="27E686BF" w:rsidR="00A87659" w:rsidRPr="000772AF" w:rsidRDefault="00D83E68" w:rsidP="00A87659">
      <w:pPr>
        <w:pStyle w:val="ATHeading2"/>
      </w:pPr>
      <w:bookmarkStart w:id="1" w:name="title"/>
      <w:r>
        <w:t>A</w:t>
      </w:r>
      <w:r w:rsidR="00A87659" w:rsidRPr="000772AF">
        <w:t xml:space="preserve">nmodning om ophævelse af </w:t>
      </w:r>
      <w:proofErr w:type="spellStart"/>
      <w:r w:rsidR="00A87659" w:rsidRPr="000772AF">
        <w:t>Ilaria</w:t>
      </w:r>
      <w:proofErr w:type="spellEnd"/>
      <w:r w:rsidR="00A87659" w:rsidRPr="000772AF">
        <w:t xml:space="preserve"> Salis' immunitet</w:t>
      </w:r>
      <w:bookmarkEnd w:id="1"/>
    </w:p>
    <w:p w14:paraId="0B6B31D1" w14:textId="77777777" w:rsidR="00A87659" w:rsidRPr="000772AF" w:rsidRDefault="00A87659" w:rsidP="00A87659">
      <w:pPr>
        <w:rPr>
          <w:i/>
          <w:vanish/>
        </w:rPr>
      </w:pPr>
      <w:r w:rsidRPr="000772AF">
        <w:rPr>
          <w:i/>
        </w:rPr>
        <w:fldChar w:fldCharType="begin"/>
      </w:r>
      <w:r w:rsidRPr="000772AF">
        <w:rPr>
          <w:i/>
        </w:rPr>
        <w:instrText xml:space="preserve"> TC"(</w:instrText>
      </w:r>
      <w:bookmarkStart w:id="2" w:name="DocNumber"/>
      <w:r w:rsidRPr="000772AF">
        <w:rPr>
          <w:i/>
        </w:rPr>
        <w:instrText>A10-0183/2025</w:instrText>
      </w:r>
      <w:bookmarkEnd w:id="2"/>
      <w:r w:rsidRPr="000772AF">
        <w:rPr>
          <w:i/>
        </w:rPr>
        <w:instrText xml:space="preserve"> - Ordfører: Ilhan </w:instrText>
      </w:r>
      <w:proofErr w:type="spellStart"/>
      <w:r w:rsidRPr="000772AF">
        <w:rPr>
          <w:i/>
        </w:rPr>
        <w:instrText>Kyuchyuk</w:instrText>
      </w:r>
      <w:proofErr w:type="spellEnd"/>
      <w:r w:rsidRPr="000772AF">
        <w:rPr>
          <w:i/>
        </w:rPr>
        <w:instrText xml:space="preserve">)"\l3 \n&gt; \* MERGEFORMAT </w:instrText>
      </w:r>
      <w:r w:rsidRPr="000772AF">
        <w:rPr>
          <w:i/>
        </w:rPr>
        <w:fldChar w:fldCharType="end"/>
      </w:r>
    </w:p>
    <w:p w14:paraId="2A62CFB5" w14:textId="77777777" w:rsidR="00A87659" w:rsidRPr="000772AF" w:rsidRDefault="00A87659" w:rsidP="00A87659">
      <w:pPr>
        <w:rPr>
          <w:vanish/>
        </w:rPr>
      </w:pPr>
      <w:bookmarkStart w:id="3" w:name="Commission"/>
      <w:r w:rsidRPr="000772AF">
        <w:rPr>
          <w:vanish/>
        </w:rPr>
        <w:t>Retsudvalget</w:t>
      </w:r>
      <w:bookmarkEnd w:id="3"/>
    </w:p>
    <w:p w14:paraId="2BC70FBF" w14:textId="77777777" w:rsidR="00A87659" w:rsidRPr="000772AF" w:rsidRDefault="00A87659" w:rsidP="00A87659">
      <w:pPr>
        <w:rPr>
          <w:vanish/>
        </w:rPr>
      </w:pPr>
      <w:bookmarkStart w:id="4" w:name="PE"/>
      <w:r w:rsidRPr="000772AF">
        <w:rPr>
          <w:vanish/>
        </w:rPr>
        <w:t>PE774.380</w:t>
      </w:r>
      <w:bookmarkEnd w:id="4"/>
    </w:p>
    <w:p w14:paraId="0EB3E6AF" w14:textId="54410B9E" w:rsidR="00A87659" w:rsidRPr="000772AF" w:rsidRDefault="00A87659" w:rsidP="00A87659">
      <w:pPr>
        <w:pStyle w:val="ATHeading3"/>
      </w:pPr>
      <w:bookmarkStart w:id="5" w:name="Sujet"/>
      <w:r w:rsidRPr="000772AF">
        <w:t xml:space="preserve">Europa-Parlamentets afgørelse af </w:t>
      </w:r>
      <w:r w:rsidR="001E4B7F">
        <w:t>7</w:t>
      </w:r>
      <w:r w:rsidRPr="000772AF">
        <w:t>.</w:t>
      </w:r>
      <w:r w:rsidR="00D83E68">
        <w:t xml:space="preserve"> oktober</w:t>
      </w:r>
      <w:r w:rsidRPr="000772AF">
        <w:t xml:space="preserve"> 2025 om anmodning om ophævelse af </w:t>
      </w:r>
      <w:proofErr w:type="spellStart"/>
      <w:r w:rsidRPr="000772AF">
        <w:t>Ilaria</w:t>
      </w:r>
      <w:proofErr w:type="spellEnd"/>
      <w:r w:rsidRPr="000772AF">
        <w:t xml:space="preserve"> Salis' immunitet</w:t>
      </w:r>
      <w:bookmarkEnd w:id="5"/>
      <w:r w:rsidRPr="000772AF">
        <w:t xml:space="preserve"> </w:t>
      </w:r>
      <w:bookmarkStart w:id="6" w:name="References"/>
      <w:r w:rsidRPr="000772AF">
        <w:t>(2024/2086(IMM))</w:t>
      </w:r>
      <w:bookmarkEnd w:id="6"/>
    </w:p>
    <w:p w14:paraId="3FE2D878" w14:textId="77777777" w:rsidR="004940E5" w:rsidRPr="000772AF" w:rsidRDefault="004940E5" w:rsidP="004940E5">
      <w:pPr>
        <w:pStyle w:val="EPComma"/>
      </w:pPr>
      <w:bookmarkStart w:id="7" w:name="TextBodyBegin"/>
      <w:bookmarkEnd w:id="7"/>
      <w:r w:rsidRPr="000772AF">
        <w:rPr>
          <w:i/>
        </w:rPr>
        <w:t>Europa-Parlamentet</w:t>
      </w:r>
      <w:r w:rsidRPr="000772AF">
        <w:t>,</w:t>
      </w:r>
    </w:p>
    <w:p w14:paraId="7C974E7A" w14:textId="147961AE" w:rsidR="004940E5" w:rsidRPr="000772AF" w:rsidRDefault="004940E5" w:rsidP="004940E5">
      <w:pPr>
        <w:pStyle w:val="NormalHanging12a"/>
      </w:pPr>
      <w:r w:rsidRPr="000772AF">
        <w:t>–</w:t>
      </w:r>
      <w:r w:rsidRPr="000772AF">
        <w:tab/>
        <w:t>der henviser til anmodning af 10. oktober 2024 om ophævelse af Ilaria Salis' immunitet, som er fremsendt af den regionale ret i første instans i Budapest i forbindelse med den verserende straffesag ved denne retsinstans, og hvorom der blev givet meddelelse på plenarmødet den 22. oktober 2024,</w:t>
      </w:r>
    </w:p>
    <w:p w14:paraId="53AAAB2F" w14:textId="6975C36A" w:rsidR="004940E5" w:rsidRPr="000772AF" w:rsidRDefault="004940E5" w:rsidP="004940E5">
      <w:pPr>
        <w:pStyle w:val="NormalHanging12a"/>
      </w:pPr>
      <w:r w:rsidRPr="000772AF">
        <w:t>–</w:t>
      </w:r>
      <w:r w:rsidRPr="000772AF">
        <w:tab/>
        <w:t>der har hørt Ilaria Salis den 13. februar 2025, og som henviser til de dokumenter, hun har fremlagt under sagen,</w:t>
      </w:r>
      <w:r w:rsidR="001E4B7F">
        <w:t xml:space="preserve"> </w:t>
      </w:r>
      <w:r w:rsidR="001E4B7F" w:rsidRPr="000772AF">
        <w:t xml:space="preserve">jf. forretningsordenens artikel 9, stk. 6, </w:t>
      </w:r>
    </w:p>
    <w:p w14:paraId="5576167F" w14:textId="2D770C3B" w:rsidR="004940E5" w:rsidRPr="000772AF" w:rsidRDefault="004940E5" w:rsidP="004940E5">
      <w:pPr>
        <w:pStyle w:val="NormalHanging12a"/>
      </w:pPr>
      <w:r w:rsidRPr="000772AF">
        <w:t>–</w:t>
      </w:r>
      <w:r w:rsidRPr="000772AF">
        <w:tab/>
        <w:t>der henviser til yderligere oplysninger fremsendt af den regionale ret i første instans i Budapest,</w:t>
      </w:r>
    </w:p>
    <w:p w14:paraId="2E49D99C" w14:textId="77777777" w:rsidR="004940E5" w:rsidRPr="000772AF" w:rsidRDefault="004940E5" w:rsidP="004940E5">
      <w:pPr>
        <w:pStyle w:val="NormalHanging12a"/>
      </w:pPr>
      <w:r w:rsidRPr="000772AF">
        <w:t>–</w:t>
      </w:r>
      <w:r w:rsidRPr="000772AF">
        <w:tab/>
        <w:t>der henviser til artikel 8 og 9 i protokol nr. 7 vedrørende Den Europæiske Unions privilegier og immuniteter samt artikel 6, stk. 2, i akten af 20. september 1976 om almindelige direkte valg af medlemmerne af Europa-Parlamentet,</w:t>
      </w:r>
    </w:p>
    <w:p w14:paraId="622DF67C" w14:textId="77777777" w:rsidR="004940E5" w:rsidRPr="000772AF" w:rsidRDefault="004940E5" w:rsidP="004940E5">
      <w:pPr>
        <w:pStyle w:val="NormalHanging12a"/>
      </w:pPr>
      <w:r w:rsidRPr="000772AF">
        <w:t>–</w:t>
      </w:r>
      <w:r w:rsidRPr="000772AF">
        <w:tab/>
        <w:t>der henviser til de domme, som Den Europæiske Unions Domstol har afsagt den 21. oktober 2008, 19. marts 2010, 6. september 2011, 17. januar 2013, 19. december 2019 og 5. juli 2023</w:t>
      </w:r>
      <w:r w:rsidRPr="000772AF">
        <w:rPr>
          <w:rStyle w:val="FootnoteReference"/>
          <w:color w:val="000000"/>
        </w:rPr>
        <w:footnoteReference w:id="1"/>
      </w:r>
      <w:r w:rsidRPr="000772AF">
        <w:t>,</w:t>
      </w:r>
    </w:p>
    <w:p w14:paraId="1855D176" w14:textId="77777777" w:rsidR="004940E5" w:rsidRPr="000772AF" w:rsidRDefault="004940E5" w:rsidP="004940E5">
      <w:pPr>
        <w:pStyle w:val="NormalHanging12a"/>
      </w:pPr>
      <w:r w:rsidRPr="000772AF">
        <w:t>–</w:t>
      </w:r>
      <w:r w:rsidRPr="000772AF">
        <w:tab/>
        <w:t>der henviser til forretningsordenens artikel 5, stk. 2, artikel 6, stk. 1, og artikel 9,</w:t>
      </w:r>
    </w:p>
    <w:p w14:paraId="2F514A40" w14:textId="77777777" w:rsidR="004940E5" w:rsidRPr="000772AF" w:rsidRDefault="004940E5" w:rsidP="004940E5">
      <w:pPr>
        <w:pStyle w:val="NormalHanging12a"/>
      </w:pPr>
      <w:r w:rsidRPr="000772AF">
        <w:lastRenderedPageBreak/>
        <w:t>–</w:t>
      </w:r>
      <w:r w:rsidRPr="000772AF">
        <w:tab/>
        <w:t>der henviser til betænkning fra Retsudvalget (A10-0183/2025),</w:t>
      </w:r>
    </w:p>
    <w:p w14:paraId="5C9A3D6F" w14:textId="1095F012" w:rsidR="004940E5" w:rsidRPr="000772AF" w:rsidRDefault="004940E5" w:rsidP="004940E5">
      <w:pPr>
        <w:pStyle w:val="NormalHanging12a"/>
      </w:pPr>
      <w:r w:rsidRPr="000772AF">
        <w:t>A.</w:t>
      </w:r>
      <w:r w:rsidRPr="000772AF">
        <w:tab/>
        <w:t xml:space="preserve">der henviser til, at den regionale ret i første instans i Budapest </w:t>
      </w:r>
      <w:r w:rsidR="00422824" w:rsidRPr="00422824">
        <w:t>den 10. oktober 2024</w:t>
      </w:r>
      <w:r w:rsidR="00422824">
        <w:t xml:space="preserve"> </w:t>
      </w:r>
      <w:r w:rsidR="008B1E41">
        <w:t xml:space="preserve">fremsendte </w:t>
      </w:r>
      <w:r w:rsidR="00924032" w:rsidRPr="00924032">
        <w:t xml:space="preserve">en anmodning </w:t>
      </w:r>
      <w:r w:rsidRPr="000772AF">
        <w:t>om ophævelse af Ilaria Salis' immunitet, medlem af Europa-Parlamentet valgt i Italien, i forbindelse med en straffesag, der verserer for denne ret;</w:t>
      </w:r>
    </w:p>
    <w:p w14:paraId="2433B068" w14:textId="1B0FB926" w:rsidR="004940E5" w:rsidRPr="000772AF" w:rsidRDefault="004940E5" w:rsidP="004940E5">
      <w:pPr>
        <w:pStyle w:val="NormalHanging12a"/>
      </w:pPr>
      <w:r w:rsidRPr="000772AF">
        <w:t>B.</w:t>
      </w:r>
      <w:r w:rsidRPr="000772AF">
        <w:tab/>
        <w:t xml:space="preserve">der henviser til, at medlemmer af en organisation, der er etableret i Tyskland, ifølge anmodningen i 2022 besluttede at udføre voldelige koordinerede angreb i Budapest mod højreekstremistiske sympatisører eller uidentificerede personer, der kunne opfattes eller mistænkes for at være sådanne, og planlagde at udføre disse angreb i dagene omkring den 11. februar 2023, hvor man fejrer den såkaldte Æresdag, som er en årlig begivenhed i Budapest, der fejrer et forsøg på udbrud fra belejrede nazistiske tropper i 1945, og som er et mødested for Europas nynazistiske scene; der henviser til, at Ilaria Salis ifølge anmodningen rejste til Ungarn for at deltage i disse koordinerede angreb, og deltog i dem den 10. og 11. februar 2023; der henviser til, at der var rapporter om sammenstød og tilfælde af vold begået af de personer, der fejrede den såkaldte Æresdag; der henviser til, at den regionale ret i første instans i Budapest nævnte, at den imidlertid ikke var bekendt med nogen voldshandlinger begået af nogen af deltagerne i 2023 fejringen af </w:t>
      </w:r>
      <w:r w:rsidR="00CE7D18">
        <w:t xml:space="preserve">den såkaldte </w:t>
      </w:r>
      <w:r w:rsidRPr="000772AF">
        <w:t>Æresdag, som ville have ført til, at der blev truffet foranstaltninger mod dem, bortset fra Ilaria Salis og to andre tiltalte i sagen;</w:t>
      </w:r>
    </w:p>
    <w:p w14:paraId="6E033A87" w14:textId="453E95EF" w:rsidR="004940E5" w:rsidRPr="000772AF" w:rsidRDefault="004940E5" w:rsidP="004940E5">
      <w:pPr>
        <w:pStyle w:val="NormalHanging12a"/>
      </w:pPr>
      <w:r w:rsidRPr="000772AF">
        <w:t>C.</w:t>
      </w:r>
      <w:r w:rsidRPr="000772AF">
        <w:tab/>
        <w:t>der henviser til, at ifølge anmodningen om ophævelse af immunitet var Ilaria Salis, den ene af de tre tiltalte i sagen, tiltalt for tre tilfælde af forsøg på vold, der kan forårsage livstruende legemsbeskadigelse inden for rammerne af en kriminel organisation i overensstemmelse med første del af § 164, stk. 8, i den ungarske lov C af 2012 om straffeloven, og i strid med nævnte lovs § 164, stk. 1, to gange som medgerningsmand og én gang som medvirkende. der henviser til, at de handlinger, som Ilaria Salis angiveligt har begået, derfor udgør strafbare handlinger i henhold til den ungarske straffelov;</w:t>
      </w:r>
    </w:p>
    <w:p w14:paraId="0CE94874" w14:textId="0D0AD555" w:rsidR="004940E5" w:rsidRPr="000772AF" w:rsidRDefault="004940E5" w:rsidP="004940E5">
      <w:pPr>
        <w:pStyle w:val="NormalHanging12a"/>
        <w:rPr>
          <w:szCs w:val="24"/>
          <w:shd w:val="clear" w:color="auto" w:fill="FFFFFF"/>
        </w:rPr>
      </w:pPr>
      <w:r w:rsidRPr="000772AF">
        <w:t>D.</w:t>
      </w:r>
      <w:r w:rsidRPr="000772AF">
        <w:tab/>
      </w:r>
      <w:r w:rsidRPr="000772AF">
        <w:rPr>
          <w:shd w:val="clear" w:color="auto" w:fill="FFFFFF"/>
        </w:rPr>
        <w:t>der henviser til</w:t>
      </w:r>
      <w:r w:rsidRPr="000772AF">
        <w:t xml:space="preserve">, at Ilaria Salis </w:t>
      </w:r>
      <w:r w:rsidRPr="000772AF">
        <w:rPr>
          <w:shd w:val="clear" w:color="auto" w:fill="FFFFFF"/>
        </w:rPr>
        <w:t>blev valgt ved valget til Europa-Parlamentet i juni 2024;</w:t>
      </w:r>
    </w:p>
    <w:p w14:paraId="6C8D43E8" w14:textId="29AECDA0" w:rsidR="004940E5" w:rsidRPr="000772AF" w:rsidRDefault="004940E5" w:rsidP="004940E5">
      <w:pPr>
        <w:pStyle w:val="NormalHanging12a"/>
      </w:pPr>
      <w:r w:rsidRPr="000772AF">
        <w:t>E.</w:t>
      </w:r>
      <w:r w:rsidRPr="000772AF">
        <w:tab/>
        <w:t xml:space="preserve">der henviser til, at de </w:t>
      </w:r>
      <w:r w:rsidR="00DA4C3E" w:rsidRPr="00DA4C3E">
        <w:t xml:space="preserve">formodede </w:t>
      </w:r>
      <w:r w:rsidRPr="000772AF">
        <w:t xml:space="preserve">lovovertrædelser </w:t>
      </w:r>
      <w:r w:rsidR="0040445D" w:rsidRPr="0040445D">
        <w:t xml:space="preserve">ikke udgør, </w:t>
      </w:r>
      <w:r w:rsidRPr="000772AF">
        <w:t xml:space="preserve">og den deraf følgende anmodning om ophævelse af </w:t>
      </w:r>
      <w:r w:rsidR="003C7D66" w:rsidRPr="000772AF">
        <w:t>Ilaria Salis</w:t>
      </w:r>
      <w:r w:rsidR="003C7D66">
        <w:t xml:space="preserve">’ </w:t>
      </w:r>
      <w:r w:rsidRPr="000772AF">
        <w:t>immunitet ikke vedrører</w:t>
      </w:r>
      <w:r w:rsidR="00C61C80">
        <w:t>,</w:t>
      </w:r>
      <w:r w:rsidRPr="000772AF">
        <w:t xml:space="preserve"> </w:t>
      </w:r>
      <w:r w:rsidR="003C7D66">
        <w:t xml:space="preserve">en </w:t>
      </w:r>
      <w:r w:rsidRPr="000772AF">
        <w:t xml:space="preserve">meningstilkendegivelse eller </w:t>
      </w:r>
      <w:r w:rsidR="003C7D66">
        <w:t>en</w:t>
      </w:r>
      <w:r w:rsidR="003C7D66" w:rsidRPr="000772AF">
        <w:t xml:space="preserve"> </w:t>
      </w:r>
      <w:r w:rsidR="003C7D66" w:rsidRPr="003C7D66">
        <w:t>stemmeafgivelse</w:t>
      </w:r>
      <w:r w:rsidRPr="000772AF">
        <w:t xml:space="preserve"> </w:t>
      </w:r>
      <w:r w:rsidR="003C7D66">
        <w:t>under</w:t>
      </w:r>
      <w:r w:rsidRPr="000772AF">
        <w:t xml:space="preserve"> udøvelsen af </w:t>
      </w:r>
      <w:r w:rsidR="00C61C80">
        <w:t xml:space="preserve">hendes </w:t>
      </w:r>
      <w:r w:rsidRPr="000772AF">
        <w:t>hverv som omhandlet i artikel 8 i protokol nr. 7 vedrørende Den Europæiske Unions privilegier og immuniteter;</w:t>
      </w:r>
    </w:p>
    <w:p w14:paraId="02731D36" w14:textId="570A4052" w:rsidR="004940E5" w:rsidRPr="000772AF" w:rsidRDefault="004940E5" w:rsidP="004940E5">
      <w:pPr>
        <w:pStyle w:val="NormalHanging12a"/>
        <w:rPr>
          <w:spacing w:val="-4"/>
        </w:rPr>
      </w:pPr>
      <w:r w:rsidRPr="000772AF">
        <w:t>F.</w:t>
      </w:r>
      <w:r w:rsidRPr="000772AF">
        <w:tab/>
        <w:t xml:space="preserve">der henviser til, at </w:t>
      </w:r>
      <w:r w:rsidR="00C61C80" w:rsidRPr="00814533">
        <w:t xml:space="preserve">Europa-Parlamentets medlemmer </w:t>
      </w:r>
      <w:r w:rsidR="00C61C80">
        <w:t xml:space="preserve">i henhold til </w:t>
      </w:r>
      <w:r w:rsidRPr="000772AF">
        <w:t xml:space="preserve">artikel 9, stk. 1, i protokol nr. 7 vedrørende Den Europæiske Unions privilegier og immuniteter på deres eget medlemslands område nyder de immuniteter, der tilstås medlemmerne af deres lands lovgivende forsamling, og på en anden medlemsstats område </w:t>
      </w:r>
      <w:r w:rsidR="00C61C80">
        <w:t xml:space="preserve">nyder </w:t>
      </w:r>
      <w:r w:rsidRPr="000772AF">
        <w:t>fritagelse for enhver form for tilbageholdelse og retsforfølgning;</w:t>
      </w:r>
    </w:p>
    <w:p w14:paraId="153452E6" w14:textId="3F526547" w:rsidR="004940E5" w:rsidRPr="000772AF" w:rsidRDefault="004940E5" w:rsidP="004940E5">
      <w:pPr>
        <w:pStyle w:val="NormalHanging12a"/>
      </w:pPr>
      <w:r w:rsidRPr="000772AF">
        <w:t>G.</w:t>
      </w:r>
      <w:r w:rsidRPr="000772AF">
        <w:tab/>
        <w:t xml:space="preserve">der henviser til, at parlamentarisk immunitet i henhold til forretningsordenens artikel 5, stk. 2, ikke er et medlems personlige privilegium, men derimod en garanti for </w:t>
      </w:r>
      <w:r w:rsidR="0025292E">
        <w:t>Europa-</w:t>
      </w:r>
      <w:r w:rsidRPr="000772AF">
        <w:t>Parlamentets uafhængighed som helhed og for dets medlemmers uafhængighed;</w:t>
      </w:r>
    </w:p>
    <w:p w14:paraId="135CF077" w14:textId="77777777" w:rsidR="004940E5" w:rsidRPr="000772AF" w:rsidRDefault="004940E5" w:rsidP="004940E5">
      <w:pPr>
        <w:pStyle w:val="NormalHanging12a"/>
      </w:pPr>
      <w:r w:rsidRPr="000772AF">
        <w:t>H.</w:t>
      </w:r>
      <w:r w:rsidRPr="000772AF">
        <w:tab/>
        <w:t xml:space="preserve">der henviser til, at det følger af Den Europæiske Unions Domstols praksis, at Parlamentet "på grund af den politiske karakter af en beslutning, der træffes, fordi der er anmodet om ophævelse (...) af immuniteten, har et meget vidt skøn med hensyn til, hvad </w:t>
      </w:r>
      <w:r w:rsidRPr="000772AF">
        <w:lastRenderedPageBreak/>
        <w:t>en sådan beslutning skal gå ud på"</w:t>
      </w:r>
      <w:r w:rsidRPr="000772AF">
        <w:rPr>
          <w:vertAlign w:val="superscript"/>
        </w:rPr>
        <w:footnoteReference w:id="2"/>
      </w:r>
      <w:r w:rsidRPr="000772AF">
        <w:t>;</w:t>
      </w:r>
    </w:p>
    <w:p w14:paraId="6F81C478" w14:textId="62E0DA34" w:rsidR="004940E5" w:rsidRPr="000772AF" w:rsidRDefault="004940E5" w:rsidP="004940E5">
      <w:pPr>
        <w:pStyle w:val="NormalHanging12a"/>
      </w:pPr>
      <w:r w:rsidRPr="000772AF">
        <w:t>I.</w:t>
      </w:r>
      <w:r w:rsidRPr="000772AF">
        <w:tab/>
        <w:t>der henviser til, at Parlamentet i forbindelse med udøvelsen af denne vide skønsbeføjelse i denne konkrete sag fandt, at Ilaria Salis var udsat for barske fængselsforhold og foranstaltninger under straffesagen mod hende; der henviser til, at den regionale ret i første instans i Budapest tilsyneladende ikke er bekendt med nogen voldshandlinger begået af nogen andre deltagere, navnlig dem, der fejrede den såkaldte Æresdag i 2023, som ville have ført til, at der blev truffet foranstaltninger mod dem; der henviser til, at der derfor synes at være tvivl om de modtagne oplysninger, som ikke er blevet afkræftet; der henviser til, at det underliggende formål med retsforfølgningen og den efterfølgende anmodning om ophævelse af immunitet derfor synes at være at bringe Ilaria Salis til tavshed på grund af hendes mangeårige politiske anskuelser og aktivisme, navnlig ved at modsætte sig den årlige nynazistiske mindehøjtidelighed, der er godkendt til at finde sted i Budapest, som også er grundlaget for hendes engagement og politiske virke i hendes egenskab af medlem af Europa-Parlamentet;</w:t>
      </w:r>
    </w:p>
    <w:p w14:paraId="605B151F" w14:textId="671FEE41" w:rsidR="004940E5" w:rsidRPr="000772AF" w:rsidRDefault="004940E5" w:rsidP="004940E5">
      <w:pPr>
        <w:pStyle w:val="NormalHanging12a"/>
      </w:pPr>
      <w:r w:rsidRPr="000772AF">
        <w:t>J.</w:t>
      </w:r>
      <w:r w:rsidRPr="000772AF">
        <w:tab/>
        <w:t>der henviser til, at det således lader til, at der i den foreliggende sag foreligger fumus persecutionis, dvs. "faktiske omstændigheder"</w:t>
      </w:r>
      <w:r w:rsidRPr="000772AF">
        <w:rPr>
          <w:vertAlign w:val="superscript"/>
        </w:rPr>
        <w:footnoteReference w:id="3"/>
      </w:r>
      <w:r w:rsidRPr="000772AF">
        <w:t>, der tyder på, at den pågældende retssag er blevet indledt med det formål at undergrave Ilaria Salis' politiske virke i hendes egenskab af medlem af Europa-Parlamentet;</w:t>
      </w:r>
    </w:p>
    <w:p w14:paraId="214624E6" w14:textId="0549E4ED" w:rsidR="004940E5" w:rsidRPr="000772AF" w:rsidRDefault="004940E5" w:rsidP="004940E5">
      <w:pPr>
        <w:pStyle w:val="NormalHanging12a"/>
      </w:pPr>
      <w:r w:rsidRPr="000772AF">
        <w:t>K.</w:t>
      </w:r>
      <w:r w:rsidRPr="000772AF">
        <w:tab/>
        <w:t>der henviser til, at Parlamentet ikke kan sidestilles med en domstol, og at medlemmet i forbindelse med en procedure om ophævelse af immunitet ikke kan betragtes som en "anklaget"</w:t>
      </w:r>
      <w:r w:rsidRPr="000772AF">
        <w:rPr>
          <w:rStyle w:val="FootnoteReference"/>
          <w:color w:val="000000"/>
        </w:rPr>
        <w:footnoteReference w:id="4"/>
      </w:r>
      <w:r w:rsidRPr="000772AF">
        <w:t>;</w:t>
      </w:r>
    </w:p>
    <w:p w14:paraId="1B024ED8" w14:textId="77777777" w:rsidR="004940E5" w:rsidRPr="000772AF" w:rsidRDefault="004940E5" w:rsidP="004940E5">
      <w:pPr>
        <w:pStyle w:val="NormalHanging12a"/>
      </w:pPr>
      <w:r w:rsidRPr="000772AF">
        <w:t>1.</w:t>
      </w:r>
      <w:r w:rsidRPr="000772AF">
        <w:tab/>
        <w:t>vedtager ikke at ophæve Ilaria Salis' immunitet;</w:t>
      </w:r>
    </w:p>
    <w:p w14:paraId="27FCF9BB" w14:textId="7EE00460" w:rsidR="00E365E1" w:rsidRPr="000772AF" w:rsidRDefault="004940E5" w:rsidP="00D83E68">
      <w:pPr>
        <w:pStyle w:val="NormalHanging12a"/>
      </w:pPr>
      <w:r w:rsidRPr="000772AF">
        <w:t>2.</w:t>
      </w:r>
      <w:r w:rsidRPr="000772AF">
        <w:tab/>
        <w:t>pålægger sin formand straks at sende denne afgørelse og det kompetente udvalgs betænkning til Ungarns kompetente myndighed og Ilaria Salis.</w:t>
      </w:r>
    </w:p>
    <w:sectPr w:rsidR="00E365E1" w:rsidRPr="000772AF" w:rsidSect="000772A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D7135" w14:textId="77777777" w:rsidR="00A87659" w:rsidRPr="000772AF" w:rsidRDefault="00A87659">
      <w:r w:rsidRPr="000772AF">
        <w:separator/>
      </w:r>
    </w:p>
  </w:endnote>
  <w:endnote w:type="continuationSeparator" w:id="0">
    <w:p w14:paraId="0D485FB2" w14:textId="77777777" w:rsidR="00A87659" w:rsidRPr="000772AF" w:rsidRDefault="00A87659">
      <w:r w:rsidRPr="000772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721D3" w14:textId="77777777" w:rsidR="00064002" w:rsidRPr="000772A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17F0C" w14:textId="77777777" w:rsidR="00064002" w:rsidRPr="000772A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F3E37" w14:textId="77777777" w:rsidR="00064002" w:rsidRPr="000772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E5D8D" w14:textId="77777777" w:rsidR="00A87659" w:rsidRPr="000772AF" w:rsidRDefault="00A87659">
      <w:r w:rsidRPr="000772AF">
        <w:separator/>
      </w:r>
    </w:p>
  </w:footnote>
  <w:footnote w:type="continuationSeparator" w:id="0">
    <w:p w14:paraId="55D701D7" w14:textId="77777777" w:rsidR="00A87659" w:rsidRPr="000772AF" w:rsidRDefault="00A87659">
      <w:r w:rsidRPr="000772AF">
        <w:continuationSeparator/>
      </w:r>
    </w:p>
  </w:footnote>
  <w:footnote w:id="1">
    <w:p w14:paraId="29F4D18B" w14:textId="77055B3E" w:rsidR="004940E5" w:rsidRPr="000772AF" w:rsidRDefault="004940E5" w:rsidP="000772AF">
      <w:pPr>
        <w:pStyle w:val="FootnoteText"/>
        <w:ind w:left="567" w:hanging="567"/>
        <w:rPr>
          <w:sz w:val="24"/>
          <w:lang w:val="da-DK"/>
        </w:rPr>
      </w:pPr>
      <w:r w:rsidRPr="000772AF">
        <w:rPr>
          <w:rStyle w:val="FootnoteReference"/>
          <w:sz w:val="24"/>
          <w:lang w:val="da-DK"/>
        </w:rPr>
        <w:footnoteRef/>
      </w:r>
      <w:r w:rsidR="000772AF" w:rsidRPr="000772AF">
        <w:rPr>
          <w:sz w:val="24"/>
          <w:lang w:val="da-DK"/>
        </w:rPr>
        <w:t xml:space="preserve"> </w:t>
      </w:r>
      <w:r w:rsidR="000772AF" w:rsidRPr="000772AF">
        <w:rPr>
          <w:sz w:val="24"/>
          <w:lang w:val="da-DK"/>
        </w:rPr>
        <w:tab/>
      </w:r>
      <w:r w:rsidRPr="000772AF">
        <w:rPr>
          <w:sz w:val="24"/>
          <w:lang w:val="da-DK"/>
        </w:rPr>
        <w:t>Domstolens dom af 21. oktober 2008, Marra mod De Gregorio og Clemente, C-200/07 og C-201/07, ECLI:EU:C:2008:579; Rettens dom af 19. marts 2010, Gollnisch mod Parlamentet, T-42/06, ECLI:EU:T:2010:102; Domstolens dom af 6. september 2011, Patriciello, C-163/10, ECLI: EU:C:2011:543; Rettens dom af 17. januar 2013, Gollnisch mod Parlamentet, T-346/11 og T-347/11, ECLI:EU:T:2013:23; Domstolens dom af 19. december 2019, Junqueras Vies, C-502/19, ECLI:EU:C:2019:1115; Rettens dom af 5. juli 2023, Puigdemont i Casamajó m.fl. mod Parlamentet, T-272/21, ECLI:EU:T:2023:373.</w:t>
      </w:r>
    </w:p>
  </w:footnote>
  <w:footnote w:id="2">
    <w:p w14:paraId="30177F17" w14:textId="0C9E51F6" w:rsidR="004940E5" w:rsidRPr="000772AF" w:rsidRDefault="004940E5" w:rsidP="000772AF">
      <w:pPr>
        <w:pStyle w:val="FootnoteText"/>
        <w:ind w:left="567" w:hanging="567"/>
        <w:rPr>
          <w:sz w:val="24"/>
          <w:lang w:val="da-DK"/>
        </w:rPr>
      </w:pPr>
      <w:r w:rsidRPr="000772AF">
        <w:rPr>
          <w:rStyle w:val="FootnoteReference"/>
          <w:sz w:val="24"/>
          <w:lang w:val="da-DK"/>
        </w:rPr>
        <w:footnoteRef/>
      </w:r>
      <w:r w:rsidR="000772AF" w:rsidRPr="000772AF">
        <w:rPr>
          <w:sz w:val="24"/>
          <w:lang w:val="da-DK"/>
        </w:rPr>
        <w:t xml:space="preserve"> </w:t>
      </w:r>
      <w:r w:rsidR="000772AF" w:rsidRPr="000772AF">
        <w:rPr>
          <w:sz w:val="24"/>
          <w:lang w:val="da-DK"/>
        </w:rPr>
        <w:tab/>
      </w:r>
      <w:r w:rsidRPr="000772AF">
        <w:rPr>
          <w:sz w:val="24"/>
          <w:lang w:val="da-DK"/>
        </w:rPr>
        <w:t>Rettens dom af 17. januar 2013, Gollnisch mod Parlamentet, T-346/11 og T-347/11, ECLI:EU:T:2013:23, præmis 59 og den deri nævnte retspraksis.</w:t>
      </w:r>
    </w:p>
  </w:footnote>
  <w:footnote w:id="3">
    <w:p w14:paraId="107354AC" w14:textId="0FBA83E1" w:rsidR="004940E5" w:rsidRPr="000772AF" w:rsidRDefault="004940E5" w:rsidP="000772AF">
      <w:pPr>
        <w:pStyle w:val="FootnoteText"/>
        <w:ind w:left="567" w:hanging="567"/>
        <w:rPr>
          <w:sz w:val="24"/>
          <w:lang w:val="da-DK"/>
        </w:rPr>
      </w:pPr>
      <w:r w:rsidRPr="000772AF">
        <w:rPr>
          <w:rStyle w:val="FootnoteReference"/>
          <w:sz w:val="24"/>
          <w:lang w:val="da-DK"/>
        </w:rPr>
        <w:footnoteRef/>
      </w:r>
      <w:r w:rsidR="000772AF" w:rsidRPr="000772AF">
        <w:rPr>
          <w:sz w:val="24"/>
          <w:lang w:val="da-DK"/>
        </w:rPr>
        <w:t xml:space="preserve"> </w:t>
      </w:r>
      <w:r w:rsidR="000772AF" w:rsidRPr="000772AF">
        <w:rPr>
          <w:sz w:val="24"/>
          <w:lang w:val="da-DK"/>
        </w:rPr>
        <w:tab/>
      </w:r>
      <w:r w:rsidRPr="000772AF">
        <w:rPr>
          <w:sz w:val="24"/>
          <w:lang w:val="da-DK"/>
        </w:rPr>
        <w:t>Domstolens dom af 17. september 2020, Troszczynski mod Parlamentet, C-12/19, ECLI:EU:C:2020:725, præmis 26.</w:t>
      </w:r>
    </w:p>
  </w:footnote>
  <w:footnote w:id="4">
    <w:p w14:paraId="3384109E" w14:textId="276EEFFE" w:rsidR="004940E5" w:rsidRPr="000772AF" w:rsidRDefault="004940E5" w:rsidP="000772AF">
      <w:pPr>
        <w:pStyle w:val="FootnoteText"/>
        <w:ind w:left="567" w:hanging="567"/>
        <w:rPr>
          <w:sz w:val="24"/>
          <w:lang w:val="da-DK"/>
        </w:rPr>
      </w:pPr>
      <w:r w:rsidRPr="000772AF">
        <w:rPr>
          <w:rStyle w:val="FootnoteReference"/>
          <w:sz w:val="24"/>
          <w:lang w:val="da-DK"/>
        </w:rPr>
        <w:footnoteRef/>
      </w:r>
      <w:r w:rsidR="000772AF" w:rsidRPr="000772AF">
        <w:rPr>
          <w:sz w:val="24"/>
          <w:lang w:val="da-DK"/>
        </w:rPr>
        <w:t xml:space="preserve"> </w:t>
      </w:r>
      <w:r w:rsidR="000772AF" w:rsidRPr="000772AF">
        <w:rPr>
          <w:sz w:val="24"/>
          <w:lang w:val="da-DK"/>
        </w:rPr>
        <w:tab/>
      </w:r>
      <w:r w:rsidRPr="000772AF">
        <w:rPr>
          <w:sz w:val="24"/>
          <w:lang w:val="da-DK"/>
        </w:rPr>
        <w:t>Rettens dom af 30. april 2019, Briois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BB3F6" w14:textId="77777777" w:rsidR="00064002" w:rsidRPr="000772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9C192" w14:textId="77777777" w:rsidR="00064002" w:rsidRPr="000772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F4682" w14:textId="77777777" w:rsidR="00064002" w:rsidRPr="000772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67848104">
    <w:abstractNumId w:val="9"/>
  </w:num>
  <w:num w:numId="2" w16cid:durableId="1461223110">
    <w:abstractNumId w:val="9"/>
  </w:num>
  <w:num w:numId="3" w16cid:durableId="646738177">
    <w:abstractNumId w:val="7"/>
  </w:num>
  <w:num w:numId="4" w16cid:durableId="2064134211">
    <w:abstractNumId w:val="7"/>
  </w:num>
  <w:num w:numId="5" w16cid:durableId="1821917566">
    <w:abstractNumId w:val="6"/>
  </w:num>
  <w:num w:numId="6" w16cid:durableId="1714504900">
    <w:abstractNumId w:val="6"/>
  </w:num>
  <w:num w:numId="7" w16cid:durableId="1831216223">
    <w:abstractNumId w:val="5"/>
  </w:num>
  <w:num w:numId="8" w16cid:durableId="576980419">
    <w:abstractNumId w:val="5"/>
  </w:num>
  <w:num w:numId="9" w16cid:durableId="1807311697">
    <w:abstractNumId w:val="4"/>
  </w:num>
  <w:num w:numId="10" w16cid:durableId="959650461">
    <w:abstractNumId w:val="4"/>
  </w:num>
  <w:num w:numId="11" w16cid:durableId="648943120">
    <w:abstractNumId w:val="8"/>
  </w:num>
  <w:num w:numId="12" w16cid:durableId="1998608621">
    <w:abstractNumId w:val="8"/>
  </w:num>
  <w:num w:numId="13" w16cid:durableId="152380370">
    <w:abstractNumId w:val="3"/>
  </w:num>
  <w:num w:numId="14" w16cid:durableId="935749210">
    <w:abstractNumId w:val="3"/>
  </w:num>
  <w:num w:numId="15" w16cid:durableId="2101901298">
    <w:abstractNumId w:val="2"/>
  </w:num>
  <w:num w:numId="16" w16cid:durableId="195656339">
    <w:abstractNumId w:val="2"/>
  </w:num>
  <w:num w:numId="17" w16cid:durableId="452093644">
    <w:abstractNumId w:val="1"/>
  </w:num>
  <w:num w:numId="18" w16cid:durableId="46533264">
    <w:abstractNumId w:val="1"/>
  </w:num>
  <w:num w:numId="19" w16cid:durableId="390230003">
    <w:abstractNumId w:val="0"/>
  </w:num>
  <w:num w:numId="20" w16cid:durableId="1051071929">
    <w:abstractNumId w:val="0"/>
  </w:num>
  <w:num w:numId="21" w16cid:durableId="204342146">
    <w:abstractNumId w:val="9"/>
  </w:num>
  <w:num w:numId="22" w16cid:durableId="1014504042">
    <w:abstractNumId w:val="7"/>
  </w:num>
  <w:num w:numId="23" w16cid:durableId="483817608">
    <w:abstractNumId w:val="6"/>
  </w:num>
  <w:num w:numId="24" w16cid:durableId="53160653">
    <w:abstractNumId w:val="5"/>
  </w:num>
  <w:num w:numId="25" w16cid:durableId="204830870">
    <w:abstractNumId w:val="4"/>
  </w:num>
  <w:num w:numId="26" w16cid:durableId="500241550">
    <w:abstractNumId w:val="8"/>
  </w:num>
  <w:num w:numId="27" w16cid:durableId="289282876">
    <w:abstractNumId w:val="3"/>
  </w:num>
  <w:num w:numId="28" w16cid:durableId="757868470">
    <w:abstractNumId w:val="2"/>
  </w:num>
  <w:num w:numId="29" w16cid:durableId="802964952">
    <w:abstractNumId w:val="1"/>
  </w:num>
  <w:num w:numId="30" w16cid:durableId="1206723628">
    <w:abstractNumId w:val="0"/>
  </w:num>
  <w:num w:numId="31" w16cid:durableId="2000573653">
    <w:abstractNumId w:val="9"/>
  </w:num>
  <w:num w:numId="32" w16cid:durableId="1536850849">
    <w:abstractNumId w:val="7"/>
  </w:num>
  <w:num w:numId="33" w16cid:durableId="226763993">
    <w:abstractNumId w:val="6"/>
  </w:num>
  <w:num w:numId="34" w16cid:durableId="448088880">
    <w:abstractNumId w:val="5"/>
  </w:num>
  <w:num w:numId="35" w16cid:durableId="641469471">
    <w:abstractNumId w:val="4"/>
  </w:num>
  <w:num w:numId="36" w16cid:durableId="261383477">
    <w:abstractNumId w:val="8"/>
  </w:num>
  <w:num w:numId="37" w16cid:durableId="714278300">
    <w:abstractNumId w:val="3"/>
  </w:num>
  <w:num w:numId="38" w16cid:durableId="383136771">
    <w:abstractNumId w:val="2"/>
  </w:num>
  <w:num w:numId="39" w16cid:durableId="1968778075">
    <w:abstractNumId w:val="1"/>
  </w:num>
  <w:num w:numId="40" w16cid:durableId="1722247914">
    <w:abstractNumId w:val="0"/>
  </w:num>
  <w:num w:numId="41" w16cid:durableId="73943217">
    <w:abstractNumId w:val="10"/>
  </w:num>
  <w:num w:numId="42" w16cid:durableId="888809911">
    <w:abstractNumId w:val="10"/>
  </w:num>
  <w:num w:numId="43" w16cid:durableId="44263121">
    <w:abstractNumId w:val="10"/>
  </w:num>
  <w:num w:numId="44" w16cid:durableId="2618432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3/2025"/>
    <w:docVar w:name="dvlangue" w:val="DA"/>
    <w:docVar w:name="dvnumam" w:val="0"/>
    <w:docVar w:name="dvpe" w:val="774.380"/>
    <w:docVar w:name="dvrapporteur" w:val="Ordfører: "/>
    <w:docVar w:name="dvtitre" w:val="Europa-Parlamentets afgørelse af xx.xx 2025 om anmodning om ophævelse af Ilaria Salis' immunitet(2024/2086(IMM))"/>
  </w:docVars>
  <w:rsids>
    <w:rsidRoot w:val="00A87659"/>
    <w:rsid w:val="00002272"/>
    <w:rsid w:val="00064002"/>
    <w:rsid w:val="000677B9"/>
    <w:rsid w:val="000772AF"/>
    <w:rsid w:val="000831BA"/>
    <w:rsid w:val="000A42CC"/>
    <w:rsid w:val="000E7DD9"/>
    <w:rsid w:val="0010095E"/>
    <w:rsid w:val="00125B37"/>
    <w:rsid w:val="00187494"/>
    <w:rsid w:val="001E4B7F"/>
    <w:rsid w:val="001F32AE"/>
    <w:rsid w:val="0025292E"/>
    <w:rsid w:val="002767FF"/>
    <w:rsid w:val="002B18FE"/>
    <w:rsid w:val="002B5493"/>
    <w:rsid w:val="00343214"/>
    <w:rsid w:val="00361C00"/>
    <w:rsid w:val="00382778"/>
    <w:rsid w:val="00395FA1"/>
    <w:rsid w:val="003C7D66"/>
    <w:rsid w:val="003E15D4"/>
    <w:rsid w:val="0040445D"/>
    <w:rsid w:val="00411CCE"/>
    <w:rsid w:val="0041666E"/>
    <w:rsid w:val="00421060"/>
    <w:rsid w:val="00422824"/>
    <w:rsid w:val="00432B9D"/>
    <w:rsid w:val="00471C19"/>
    <w:rsid w:val="004867E3"/>
    <w:rsid w:val="004940E5"/>
    <w:rsid w:val="00494A28"/>
    <w:rsid w:val="004C0004"/>
    <w:rsid w:val="004C5D52"/>
    <w:rsid w:val="004E103E"/>
    <w:rsid w:val="0050519A"/>
    <w:rsid w:val="005072A1"/>
    <w:rsid w:val="00514517"/>
    <w:rsid w:val="00545827"/>
    <w:rsid w:val="00560270"/>
    <w:rsid w:val="00583822"/>
    <w:rsid w:val="005C2568"/>
    <w:rsid w:val="005F1B17"/>
    <w:rsid w:val="006037C0"/>
    <w:rsid w:val="00662D43"/>
    <w:rsid w:val="006631B6"/>
    <w:rsid w:val="00680577"/>
    <w:rsid w:val="00683883"/>
    <w:rsid w:val="006F74FA"/>
    <w:rsid w:val="00731ADD"/>
    <w:rsid w:val="00734777"/>
    <w:rsid w:val="00747932"/>
    <w:rsid w:val="00751A4A"/>
    <w:rsid w:val="00756632"/>
    <w:rsid w:val="00762C74"/>
    <w:rsid w:val="00786EC0"/>
    <w:rsid w:val="00792C9D"/>
    <w:rsid w:val="007D1690"/>
    <w:rsid w:val="007E22AD"/>
    <w:rsid w:val="00817416"/>
    <w:rsid w:val="00842779"/>
    <w:rsid w:val="00857225"/>
    <w:rsid w:val="00865F67"/>
    <w:rsid w:val="00881A7B"/>
    <w:rsid w:val="008840E5"/>
    <w:rsid w:val="00887B3E"/>
    <w:rsid w:val="008B1E41"/>
    <w:rsid w:val="008C2AC6"/>
    <w:rsid w:val="008F4AC8"/>
    <w:rsid w:val="00924032"/>
    <w:rsid w:val="00930C23"/>
    <w:rsid w:val="0093193B"/>
    <w:rsid w:val="009509D8"/>
    <w:rsid w:val="00950B64"/>
    <w:rsid w:val="00981893"/>
    <w:rsid w:val="00A1687D"/>
    <w:rsid w:val="00A43E52"/>
    <w:rsid w:val="00A4678D"/>
    <w:rsid w:val="00A778C7"/>
    <w:rsid w:val="00A87659"/>
    <w:rsid w:val="00AB441E"/>
    <w:rsid w:val="00AB6293"/>
    <w:rsid w:val="00AE0928"/>
    <w:rsid w:val="00AF3B82"/>
    <w:rsid w:val="00B12E95"/>
    <w:rsid w:val="00B22876"/>
    <w:rsid w:val="00B558F0"/>
    <w:rsid w:val="00BD48FE"/>
    <w:rsid w:val="00BD7BD8"/>
    <w:rsid w:val="00BE6ADC"/>
    <w:rsid w:val="00BF1F4E"/>
    <w:rsid w:val="00C05BFE"/>
    <w:rsid w:val="00C23CD4"/>
    <w:rsid w:val="00C61C0C"/>
    <w:rsid w:val="00C61C80"/>
    <w:rsid w:val="00C941CB"/>
    <w:rsid w:val="00CC2357"/>
    <w:rsid w:val="00CE7D18"/>
    <w:rsid w:val="00CF071A"/>
    <w:rsid w:val="00D058B8"/>
    <w:rsid w:val="00D20910"/>
    <w:rsid w:val="00D56C11"/>
    <w:rsid w:val="00D834A0"/>
    <w:rsid w:val="00D83E68"/>
    <w:rsid w:val="00D872DF"/>
    <w:rsid w:val="00D91E21"/>
    <w:rsid w:val="00DA4C3E"/>
    <w:rsid w:val="00DA7FCD"/>
    <w:rsid w:val="00DF50C4"/>
    <w:rsid w:val="00E27E8E"/>
    <w:rsid w:val="00E365E1"/>
    <w:rsid w:val="00E820A4"/>
    <w:rsid w:val="00EB006A"/>
    <w:rsid w:val="00EB4772"/>
    <w:rsid w:val="00ED169E"/>
    <w:rsid w:val="00ED4235"/>
    <w:rsid w:val="00F04346"/>
    <w:rsid w:val="00F075DC"/>
    <w:rsid w:val="00F149E9"/>
    <w:rsid w:val="00F5134D"/>
    <w:rsid w:val="00F62570"/>
    <w:rsid w:val="00F74202"/>
    <w:rsid w:val="00F87713"/>
    <w:rsid w:val="00FA41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83FEF"/>
  <w15:chartTrackingRefBased/>
  <w15:docId w15:val="{2DF0ADAD-FBC9-4CEC-A5B5-469463D7C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940E5"/>
    <w:pPr>
      <w:spacing w:after="240"/>
      <w:ind w:left="567" w:hanging="567"/>
    </w:pPr>
  </w:style>
  <w:style w:type="paragraph" w:customStyle="1" w:styleId="EPComma">
    <w:name w:val="EPComma"/>
    <w:basedOn w:val="Normal"/>
    <w:rsid w:val="004940E5"/>
    <w:pPr>
      <w:spacing w:before="480" w:after="240"/>
    </w:pPr>
  </w:style>
  <w:style w:type="paragraph" w:styleId="Revision">
    <w:name w:val="Revision"/>
    <w:hidden/>
    <w:uiPriority w:val="99"/>
    <w:semiHidden/>
    <w:rsid w:val="00D83E68"/>
    <w:rPr>
      <w:sz w:val="24"/>
      <w:lang w:val="da-DK"/>
    </w:rPr>
  </w:style>
  <w:style w:type="character" w:styleId="CommentReference">
    <w:name w:val="annotation reference"/>
    <w:basedOn w:val="DefaultParagraphFont"/>
    <w:rsid w:val="00924032"/>
    <w:rPr>
      <w:sz w:val="16"/>
      <w:szCs w:val="16"/>
    </w:rPr>
  </w:style>
  <w:style w:type="paragraph" w:styleId="CommentText">
    <w:name w:val="annotation text"/>
    <w:basedOn w:val="Normal"/>
    <w:link w:val="CommentTextChar"/>
    <w:rsid w:val="00924032"/>
    <w:rPr>
      <w:sz w:val="20"/>
    </w:rPr>
  </w:style>
  <w:style w:type="character" w:customStyle="1" w:styleId="CommentTextChar">
    <w:name w:val="Comment Text Char"/>
    <w:basedOn w:val="DefaultParagraphFont"/>
    <w:link w:val="CommentText"/>
    <w:rsid w:val="00924032"/>
    <w:rPr>
      <w:lang w:val="da-DK"/>
    </w:rPr>
  </w:style>
  <w:style w:type="paragraph" w:styleId="CommentSubject">
    <w:name w:val="annotation subject"/>
    <w:basedOn w:val="CommentText"/>
    <w:next w:val="CommentText"/>
    <w:link w:val="CommentSubjectChar"/>
    <w:rsid w:val="00924032"/>
    <w:rPr>
      <w:b/>
      <w:bCs/>
    </w:rPr>
  </w:style>
  <w:style w:type="character" w:customStyle="1" w:styleId="CommentSubjectChar">
    <w:name w:val="Comment Subject Char"/>
    <w:basedOn w:val="CommentTextChar"/>
    <w:link w:val="CommentSubject"/>
    <w:rsid w:val="00924032"/>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1030</Words>
  <Characters>5680</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GOROPECNIK Tina</cp:lastModifiedBy>
  <cp:revision>2</cp:revision>
  <cp:lastPrinted>2004-11-19T15:42:00Z</cp:lastPrinted>
  <dcterms:created xsi:type="dcterms:W3CDTF">2026-01-14T14:19:00Z</dcterms:created>
  <dcterms:modified xsi:type="dcterms:W3CDTF">2026-01-14T14:19:00Z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A10-0183/2025</vt:lpwstr>
  </property>
  <property fmtid="{D5CDD505-2E9C-101B-9397-08002B2CF9AE}" pid="4" name="&lt;Type&gt;">
    <vt:lpwstr>RR</vt:lpwstr>
  </property>
</Properties>
</file>