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205F0" w14:paraId="0118C85A" w14:textId="77777777" w:rsidTr="0010095E">
        <w:trPr>
          <w:trHeight w:hRule="exact" w:val="1418"/>
        </w:trPr>
        <w:tc>
          <w:tcPr>
            <w:tcW w:w="6804" w:type="dxa"/>
            <w:shd w:val="clear" w:color="auto" w:fill="auto"/>
            <w:vAlign w:val="center"/>
          </w:tcPr>
          <w:p w14:paraId="4A356604" w14:textId="77777777" w:rsidR="00751A4A" w:rsidRPr="001205F0" w:rsidRDefault="00086F13" w:rsidP="0010095E">
            <w:pPr>
              <w:pStyle w:val="EPName"/>
            </w:pPr>
            <w:r w:rsidRPr="001205F0">
              <w:t>European Parliament</w:t>
            </w:r>
          </w:p>
          <w:p w14:paraId="7D9780FD" w14:textId="77777777" w:rsidR="00751A4A" w:rsidRPr="001205F0" w:rsidRDefault="005F1B17" w:rsidP="005F1B17">
            <w:pPr>
              <w:pStyle w:val="EPTerm"/>
              <w:rPr>
                <w:rStyle w:val="HideTWBExt"/>
                <w:noProof w:val="0"/>
                <w:vanish w:val="0"/>
                <w:color w:val="auto"/>
              </w:rPr>
            </w:pPr>
            <w:r w:rsidRPr="001205F0">
              <w:t>2024</w:t>
            </w:r>
            <w:r w:rsidR="00817416" w:rsidRPr="001205F0">
              <w:t>-202</w:t>
            </w:r>
            <w:r w:rsidRPr="001205F0">
              <w:t>9</w:t>
            </w:r>
          </w:p>
        </w:tc>
        <w:tc>
          <w:tcPr>
            <w:tcW w:w="2268" w:type="dxa"/>
            <w:shd w:val="clear" w:color="auto" w:fill="auto"/>
          </w:tcPr>
          <w:p w14:paraId="383C6C70" w14:textId="77777777" w:rsidR="00751A4A" w:rsidRPr="001205F0" w:rsidRDefault="00187494" w:rsidP="0010095E">
            <w:pPr>
              <w:pStyle w:val="EPLogo"/>
            </w:pPr>
            <w:r w:rsidRPr="001205F0">
              <w:rPr>
                <w:noProof/>
                <w:lang w:eastAsia="ja-JP"/>
              </w:rPr>
              <w:drawing>
                <wp:inline distT="0" distB="0" distL="0" distR="0" wp14:anchorId="33409EDE" wp14:editId="511B6BE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ECAD8FF" w14:textId="77777777" w:rsidR="00D058B8" w:rsidRPr="001205F0" w:rsidRDefault="00D058B8" w:rsidP="004C5D52">
      <w:pPr>
        <w:pStyle w:val="LineTop"/>
      </w:pPr>
    </w:p>
    <w:p w14:paraId="36F3803C" w14:textId="77777777" w:rsidR="00680577" w:rsidRPr="001205F0" w:rsidRDefault="00086F13" w:rsidP="00680577">
      <w:pPr>
        <w:pStyle w:val="EPBodyTA1"/>
      </w:pPr>
      <w:r w:rsidRPr="001205F0">
        <w:t>TEXTS ADOPTED</w:t>
      </w:r>
    </w:p>
    <w:p w14:paraId="368B5BB8" w14:textId="77777777" w:rsidR="00D058B8" w:rsidRPr="001205F0" w:rsidRDefault="00D058B8" w:rsidP="00D058B8">
      <w:pPr>
        <w:pStyle w:val="LineBottom"/>
      </w:pPr>
    </w:p>
    <w:p w14:paraId="1B4A82CE" w14:textId="4FE9FBA6" w:rsidR="00086F13" w:rsidRPr="001205F0" w:rsidRDefault="00086F13" w:rsidP="00086F13">
      <w:pPr>
        <w:pStyle w:val="ATHeading1"/>
      </w:pPr>
      <w:bookmarkStart w:id="0" w:name="TANumber"/>
      <w:r w:rsidRPr="001205F0">
        <w:t>P10_</w:t>
      </w:r>
      <w:proofErr w:type="gramStart"/>
      <w:r w:rsidRPr="001205F0">
        <w:t>TA(</w:t>
      </w:r>
      <w:proofErr w:type="gramEnd"/>
      <w:r w:rsidRPr="001205F0">
        <w:t>2025)</w:t>
      </w:r>
      <w:bookmarkEnd w:id="0"/>
      <w:r w:rsidR="00FB2A7A" w:rsidRPr="001205F0">
        <w:t>0206</w:t>
      </w:r>
    </w:p>
    <w:p w14:paraId="1488CDF7" w14:textId="77777777" w:rsidR="00086F13" w:rsidRPr="001205F0" w:rsidRDefault="00086F13" w:rsidP="00086F13">
      <w:pPr>
        <w:pStyle w:val="ATHeading2"/>
      </w:pPr>
      <w:bookmarkStart w:id="1" w:name="title"/>
      <w:r w:rsidRPr="001205F0">
        <w:t xml:space="preserve">Request for the waiver of the immunity of Ilaria </w:t>
      </w:r>
      <w:proofErr w:type="spellStart"/>
      <w:r w:rsidRPr="001205F0">
        <w:t>Salis</w:t>
      </w:r>
      <w:bookmarkEnd w:id="1"/>
      <w:proofErr w:type="spellEnd"/>
    </w:p>
    <w:p w14:paraId="5F5227E3" w14:textId="77777777" w:rsidR="00086F13" w:rsidRPr="001205F0" w:rsidRDefault="00086F13" w:rsidP="00086F13">
      <w:pPr>
        <w:rPr>
          <w:i/>
          <w:vanish/>
        </w:rPr>
      </w:pPr>
      <w:r w:rsidRPr="001205F0">
        <w:rPr>
          <w:i/>
        </w:rPr>
        <w:fldChar w:fldCharType="begin"/>
      </w:r>
      <w:r w:rsidRPr="001205F0">
        <w:rPr>
          <w:i/>
        </w:rPr>
        <w:instrText xml:space="preserve"> TC"(</w:instrText>
      </w:r>
      <w:bookmarkStart w:id="2" w:name="DocNumber"/>
      <w:r w:rsidRPr="001205F0">
        <w:rPr>
          <w:i/>
        </w:rPr>
        <w:instrText>A10-0183/2025</w:instrText>
      </w:r>
      <w:bookmarkEnd w:id="2"/>
      <w:r w:rsidRPr="001205F0">
        <w:rPr>
          <w:i/>
        </w:rPr>
        <w:instrText xml:space="preserve"> - Rapporteur: Ilhan Kyuchyuk)"\l3 \n&gt; \* MERGEFORMAT </w:instrText>
      </w:r>
      <w:r w:rsidRPr="001205F0">
        <w:rPr>
          <w:i/>
        </w:rPr>
        <w:fldChar w:fldCharType="end"/>
      </w:r>
    </w:p>
    <w:p w14:paraId="6DD12147" w14:textId="77777777" w:rsidR="00086F13" w:rsidRPr="001205F0" w:rsidRDefault="00086F13" w:rsidP="00086F13">
      <w:pPr>
        <w:rPr>
          <w:vanish/>
        </w:rPr>
      </w:pPr>
      <w:bookmarkStart w:id="3" w:name="Commission"/>
      <w:r w:rsidRPr="001205F0">
        <w:rPr>
          <w:vanish/>
        </w:rPr>
        <w:t>Committee on Legal Affairs</w:t>
      </w:r>
      <w:bookmarkEnd w:id="3"/>
    </w:p>
    <w:p w14:paraId="0AF69DA1" w14:textId="77777777" w:rsidR="00086F13" w:rsidRPr="001205F0" w:rsidRDefault="00086F13" w:rsidP="00086F13">
      <w:pPr>
        <w:rPr>
          <w:vanish/>
        </w:rPr>
      </w:pPr>
      <w:bookmarkStart w:id="4" w:name="PE"/>
      <w:r w:rsidRPr="001205F0">
        <w:rPr>
          <w:vanish/>
        </w:rPr>
        <w:t>PE774.380</w:t>
      </w:r>
      <w:bookmarkEnd w:id="4"/>
    </w:p>
    <w:p w14:paraId="3209CE47" w14:textId="3E89F3C6" w:rsidR="00086F13" w:rsidRPr="001205F0" w:rsidRDefault="00086F13" w:rsidP="00086F13">
      <w:pPr>
        <w:pStyle w:val="ATHeading3"/>
      </w:pPr>
      <w:bookmarkStart w:id="5" w:name="Sujet"/>
      <w:r w:rsidRPr="001205F0">
        <w:t xml:space="preserve">European Parliament decision of </w:t>
      </w:r>
      <w:r w:rsidR="00E755C5" w:rsidRPr="001205F0">
        <w:t xml:space="preserve">7 </w:t>
      </w:r>
      <w:r w:rsidRPr="001205F0">
        <w:t xml:space="preserve">October 2025 on the request for the waiver of the immunity of Ilaria </w:t>
      </w:r>
      <w:proofErr w:type="spellStart"/>
      <w:r w:rsidRPr="001205F0">
        <w:t>Salis</w:t>
      </w:r>
      <w:bookmarkEnd w:id="5"/>
      <w:proofErr w:type="spellEnd"/>
      <w:r w:rsidRPr="001205F0">
        <w:t xml:space="preserve"> </w:t>
      </w:r>
      <w:bookmarkStart w:id="6" w:name="References"/>
      <w:r w:rsidRPr="001205F0">
        <w:t>(2024/2086(IMM))</w:t>
      </w:r>
      <w:bookmarkEnd w:id="6"/>
    </w:p>
    <w:p w14:paraId="6B16527A" w14:textId="77777777" w:rsidR="009B3D5B" w:rsidRPr="001205F0" w:rsidRDefault="009B3D5B" w:rsidP="009B3D5B">
      <w:pPr>
        <w:pStyle w:val="EPComma"/>
      </w:pPr>
      <w:bookmarkStart w:id="7" w:name="TextBodyBegin"/>
      <w:bookmarkEnd w:id="7"/>
      <w:r w:rsidRPr="001205F0">
        <w:rPr>
          <w:i/>
        </w:rPr>
        <w:t>The European Parliament</w:t>
      </w:r>
      <w:r w:rsidRPr="001205F0">
        <w:t>,</w:t>
      </w:r>
    </w:p>
    <w:p w14:paraId="5266FB5F" w14:textId="49D03326" w:rsidR="009B3D5B" w:rsidRPr="001205F0" w:rsidRDefault="009B3D5B" w:rsidP="00A565B5">
      <w:pPr>
        <w:pStyle w:val="NormalHanging12a"/>
        <w:widowControl/>
      </w:pPr>
      <w:r w:rsidRPr="001205F0">
        <w:t>–</w:t>
      </w:r>
      <w:r w:rsidRPr="001205F0">
        <w:tab/>
        <w:t xml:space="preserve">having regard to the request for the waiver of the immunity of Ilaria </w:t>
      </w:r>
      <w:proofErr w:type="spellStart"/>
      <w:r w:rsidRPr="001205F0">
        <w:t>Salis</w:t>
      </w:r>
      <w:proofErr w:type="spellEnd"/>
      <w:r w:rsidR="00722766" w:rsidRPr="001205F0">
        <w:t>, dated 10 October 2024,</w:t>
      </w:r>
      <w:r w:rsidRPr="001205F0">
        <w:t xml:space="preserve"> submitted by the Budapest</w:t>
      </w:r>
      <w:r w:rsidR="00722766" w:rsidRPr="001205F0">
        <w:t>-Capital</w:t>
      </w:r>
      <w:r w:rsidRPr="001205F0">
        <w:t xml:space="preserve"> Regional Court in connection with criminal proceedings pending before that court, and announced in </w:t>
      </w:r>
      <w:r w:rsidR="00930118" w:rsidRPr="001205F0">
        <w:t xml:space="preserve">Parliament </w:t>
      </w:r>
      <w:r w:rsidRPr="001205F0">
        <w:t>on 22 October</w:t>
      </w:r>
      <w:r w:rsidR="00A565B5" w:rsidRPr="001205F0">
        <w:t> </w:t>
      </w:r>
      <w:r w:rsidRPr="001205F0">
        <w:t>2024,</w:t>
      </w:r>
    </w:p>
    <w:p w14:paraId="53C643DA" w14:textId="6BB9920C" w:rsidR="009B3D5B" w:rsidRPr="001205F0" w:rsidRDefault="009B3D5B" w:rsidP="00A565B5">
      <w:pPr>
        <w:pStyle w:val="NormalHanging12a"/>
        <w:widowControl/>
      </w:pPr>
      <w:r w:rsidRPr="001205F0">
        <w:t>–</w:t>
      </w:r>
      <w:r w:rsidRPr="001205F0">
        <w:tab/>
        <w:t xml:space="preserve">having heard Ilaria </w:t>
      </w:r>
      <w:proofErr w:type="spellStart"/>
      <w:r w:rsidRPr="001205F0">
        <w:t>Salis</w:t>
      </w:r>
      <w:proofErr w:type="spellEnd"/>
      <w:r w:rsidRPr="001205F0">
        <w:t xml:space="preserve"> on 13</w:t>
      </w:r>
      <w:r w:rsidR="00A565B5" w:rsidRPr="001205F0">
        <w:t> </w:t>
      </w:r>
      <w:r w:rsidRPr="001205F0">
        <w:t>February</w:t>
      </w:r>
      <w:r w:rsidR="00A565B5" w:rsidRPr="001205F0">
        <w:t> </w:t>
      </w:r>
      <w:r w:rsidRPr="001205F0">
        <w:t>2025 and having regard to the documents submitted by her</w:t>
      </w:r>
      <w:r w:rsidR="006C3F85" w:rsidRPr="001205F0">
        <w:t>,</w:t>
      </w:r>
      <w:r w:rsidRPr="001205F0">
        <w:t xml:space="preserve"> </w:t>
      </w:r>
      <w:r w:rsidR="00722766" w:rsidRPr="001205F0">
        <w:t>in accordance with Rule 9(6) of its Rules of Procedure</w:t>
      </w:r>
      <w:r w:rsidRPr="001205F0">
        <w:t>,</w:t>
      </w:r>
    </w:p>
    <w:p w14:paraId="7825E1F3" w14:textId="16AB8F8C" w:rsidR="009B3D5B" w:rsidRPr="001205F0" w:rsidRDefault="009B3D5B" w:rsidP="00A565B5">
      <w:pPr>
        <w:pStyle w:val="NormalHanging12a"/>
        <w:widowControl/>
      </w:pPr>
      <w:r w:rsidRPr="001205F0">
        <w:t>–</w:t>
      </w:r>
      <w:r w:rsidRPr="001205F0">
        <w:tab/>
        <w:t>having regard to additional information provided by the Budapest</w:t>
      </w:r>
      <w:r w:rsidR="00722766" w:rsidRPr="001205F0">
        <w:t>-Capital</w:t>
      </w:r>
      <w:r w:rsidRPr="001205F0">
        <w:t xml:space="preserve"> Regional Court,</w:t>
      </w:r>
    </w:p>
    <w:p w14:paraId="605A2CB9" w14:textId="0E6B27E1" w:rsidR="009B3D5B" w:rsidRPr="001205F0" w:rsidRDefault="009B3D5B" w:rsidP="00A565B5">
      <w:pPr>
        <w:pStyle w:val="NormalHanging12a"/>
        <w:widowControl/>
      </w:pPr>
      <w:r w:rsidRPr="001205F0">
        <w:t>–</w:t>
      </w:r>
      <w:r w:rsidRPr="001205F0">
        <w:tab/>
        <w:t>having regard to Articles 8 and 9 of Protocol No 7 on the Privileges and Immunities of the European Union, and Article 6(2) of the Act of 20</w:t>
      </w:r>
      <w:r w:rsidR="00A565B5" w:rsidRPr="001205F0">
        <w:t> </w:t>
      </w:r>
      <w:r w:rsidRPr="001205F0">
        <w:t>September</w:t>
      </w:r>
      <w:r w:rsidR="00A565B5" w:rsidRPr="001205F0">
        <w:t> </w:t>
      </w:r>
      <w:r w:rsidRPr="001205F0">
        <w:t>1976 concerning the election of the members of the European Parliament by direct universal suffrage,</w:t>
      </w:r>
    </w:p>
    <w:p w14:paraId="7E72A260" w14:textId="02D7EAFB" w:rsidR="009B3D5B" w:rsidRPr="001205F0" w:rsidRDefault="009B3D5B" w:rsidP="00A565B5">
      <w:pPr>
        <w:pStyle w:val="NormalHanging12a"/>
        <w:widowControl/>
      </w:pPr>
      <w:r w:rsidRPr="001205F0">
        <w:t>–</w:t>
      </w:r>
      <w:r w:rsidRPr="001205F0">
        <w:tab/>
        <w:t>having regard to the judgments of the Court of Justice of the European Union of 21 October</w:t>
      </w:r>
      <w:r w:rsidR="00A565B5" w:rsidRPr="001205F0">
        <w:t> </w:t>
      </w:r>
      <w:r w:rsidRPr="001205F0">
        <w:t>2008, 19 March</w:t>
      </w:r>
      <w:r w:rsidR="00A565B5" w:rsidRPr="001205F0">
        <w:t> </w:t>
      </w:r>
      <w:r w:rsidRPr="001205F0">
        <w:t>2010, 6 September</w:t>
      </w:r>
      <w:r w:rsidR="00A565B5" w:rsidRPr="001205F0">
        <w:t> </w:t>
      </w:r>
      <w:r w:rsidRPr="001205F0">
        <w:t>2011, 17 January</w:t>
      </w:r>
      <w:r w:rsidR="00A565B5" w:rsidRPr="001205F0">
        <w:t> </w:t>
      </w:r>
      <w:r w:rsidRPr="001205F0">
        <w:t>2013, 19 December</w:t>
      </w:r>
      <w:r w:rsidR="00A565B5" w:rsidRPr="001205F0">
        <w:t> </w:t>
      </w:r>
      <w:r w:rsidRPr="001205F0">
        <w:t>2019 and 5 July 2023</w:t>
      </w:r>
      <w:r w:rsidRPr="001205F0">
        <w:rPr>
          <w:rStyle w:val="FootnoteReference"/>
          <w:color w:val="000000"/>
        </w:rPr>
        <w:footnoteReference w:id="1"/>
      </w:r>
      <w:r w:rsidRPr="001205F0">
        <w:t>,</w:t>
      </w:r>
    </w:p>
    <w:p w14:paraId="0ECC2FAB" w14:textId="77777777" w:rsidR="009B3D5B" w:rsidRPr="001205F0" w:rsidRDefault="009B3D5B" w:rsidP="00A565B5">
      <w:pPr>
        <w:pStyle w:val="NormalHanging12a"/>
        <w:widowControl/>
      </w:pPr>
      <w:r w:rsidRPr="001205F0">
        <w:lastRenderedPageBreak/>
        <w:t>–</w:t>
      </w:r>
      <w:r w:rsidRPr="001205F0">
        <w:tab/>
        <w:t>having regard to Rule 5(2), Rule 6(1) and Rule 9 of its Rules of Procedure,</w:t>
      </w:r>
    </w:p>
    <w:p w14:paraId="4A4D7116" w14:textId="77777777" w:rsidR="009B3D5B" w:rsidRPr="001205F0" w:rsidRDefault="009B3D5B" w:rsidP="00A565B5">
      <w:pPr>
        <w:pStyle w:val="NormalHanging12a"/>
        <w:widowControl/>
      </w:pPr>
      <w:r w:rsidRPr="001205F0">
        <w:t>–</w:t>
      </w:r>
      <w:r w:rsidRPr="001205F0">
        <w:tab/>
        <w:t>having regard to the report of the Committee on Legal Affairs (A10-0183/2025),</w:t>
      </w:r>
    </w:p>
    <w:p w14:paraId="17F83B27" w14:textId="221AA896" w:rsidR="009B3D5B" w:rsidRPr="001205F0" w:rsidRDefault="009B3D5B" w:rsidP="00A565B5">
      <w:pPr>
        <w:pStyle w:val="NormalHanging12a"/>
        <w:widowControl/>
      </w:pPr>
      <w:r w:rsidRPr="001205F0">
        <w:t>A.</w:t>
      </w:r>
      <w:r w:rsidRPr="001205F0">
        <w:tab/>
        <w:t>whereas</w:t>
      </w:r>
      <w:r w:rsidR="00722766" w:rsidRPr="001205F0">
        <w:t>, on 10 October 2024,</w:t>
      </w:r>
      <w:r w:rsidRPr="001205F0">
        <w:t xml:space="preserve"> the Budapest</w:t>
      </w:r>
      <w:r w:rsidR="00722766" w:rsidRPr="001205F0">
        <w:t>-Capital</w:t>
      </w:r>
      <w:r w:rsidRPr="001205F0">
        <w:t xml:space="preserve"> Regional Court </w:t>
      </w:r>
      <w:r w:rsidR="00722766" w:rsidRPr="001205F0">
        <w:t xml:space="preserve">submitted a </w:t>
      </w:r>
      <w:r w:rsidRPr="001205F0">
        <w:t>request</w:t>
      </w:r>
      <w:r w:rsidR="00722766" w:rsidRPr="001205F0">
        <w:t xml:space="preserve"> for </w:t>
      </w:r>
      <w:r w:rsidRPr="001205F0">
        <w:t xml:space="preserve">the waiver of the immunity of Ilaria </w:t>
      </w:r>
      <w:proofErr w:type="spellStart"/>
      <w:r w:rsidRPr="001205F0">
        <w:t>Salis</w:t>
      </w:r>
      <w:proofErr w:type="spellEnd"/>
      <w:r w:rsidRPr="001205F0">
        <w:t xml:space="preserve">, a Member of the European Parliament elected in Italy, in connection with criminal proceedings pending before that </w:t>
      </w:r>
      <w:proofErr w:type="gramStart"/>
      <w:r w:rsidRPr="001205F0">
        <w:t>court;</w:t>
      </w:r>
      <w:proofErr w:type="gramEnd"/>
    </w:p>
    <w:p w14:paraId="2901F8B3" w14:textId="4D2C1717" w:rsidR="009B3D5B" w:rsidRPr="001205F0" w:rsidRDefault="009B3D5B" w:rsidP="00A565B5">
      <w:pPr>
        <w:pStyle w:val="NormalHanging12a"/>
        <w:widowControl/>
      </w:pPr>
      <w:r w:rsidRPr="001205F0">
        <w:t>B.</w:t>
      </w:r>
      <w:r w:rsidRPr="001205F0">
        <w:tab/>
        <w:t>whereas, according to the request, members of an organisation set up in Germany decided in 2022 to carry out violent coordinated attacks in Budapest against far-right sympathisers, or unidentified persons perceived or suspected to be such, and planned those attacks for 11</w:t>
      </w:r>
      <w:r w:rsidR="00A565B5" w:rsidRPr="001205F0">
        <w:t> </w:t>
      </w:r>
      <w:r w:rsidRPr="001205F0">
        <w:t>February</w:t>
      </w:r>
      <w:r w:rsidR="00A565B5" w:rsidRPr="001205F0">
        <w:t> </w:t>
      </w:r>
      <w:r w:rsidRPr="001205F0">
        <w:t xml:space="preserve">2023, and the days before and after this day, </w:t>
      </w:r>
      <w:bookmarkStart w:id="8" w:name="_Hlk210659609"/>
      <w:r w:rsidRPr="001205F0">
        <w:t xml:space="preserve">which celebrates the so-called Day of Honour, a yearly event in Budapest that commemorates an attempted breakout by besieged Nazi troops in 1945 and which is a meetup point for Europe’s neo-Nazi scene; whereas, according to the request, Ilaria </w:t>
      </w:r>
      <w:proofErr w:type="spellStart"/>
      <w:r w:rsidRPr="001205F0">
        <w:t>Salis</w:t>
      </w:r>
      <w:proofErr w:type="spellEnd"/>
      <w:r w:rsidRPr="001205F0">
        <w:t xml:space="preserve"> travelled to Hungary to participate in those coordinated attacks and took part in them on 10</w:t>
      </w:r>
      <w:r w:rsidR="00A565B5" w:rsidRPr="001205F0">
        <w:t> </w:t>
      </w:r>
      <w:r w:rsidRPr="001205F0">
        <w:t>and</w:t>
      </w:r>
      <w:r w:rsidR="00A565B5" w:rsidRPr="001205F0">
        <w:t> </w:t>
      </w:r>
      <w:r w:rsidRPr="001205F0">
        <w:t>11</w:t>
      </w:r>
      <w:r w:rsidR="00A565B5" w:rsidRPr="001205F0">
        <w:t> </w:t>
      </w:r>
      <w:r w:rsidRPr="001205F0">
        <w:t>February</w:t>
      </w:r>
      <w:r w:rsidR="00A565B5" w:rsidRPr="001205F0">
        <w:t> </w:t>
      </w:r>
      <w:r w:rsidRPr="001205F0">
        <w:t>2023; whereas there were reports of altercations and incidents of violence committed by the individuals celebrating the so-called Day of Honour; whereas the Budapest</w:t>
      </w:r>
      <w:r w:rsidR="00722766" w:rsidRPr="001205F0">
        <w:t>-Capital</w:t>
      </w:r>
      <w:r w:rsidRPr="001205F0">
        <w:t xml:space="preserve"> Regional Court </w:t>
      </w:r>
      <w:r w:rsidR="00722766" w:rsidRPr="001205F0">
        <w:t xml:space="preserve">has </w:t>
      </w:r>
      <w:r w:rsidRPr="001205F0">
        <w:t>mentioned that it was</w:t>
      </w:r>
      <w:r w:rsidRPr="001205F0">
        <w:rPr>
          <w:szCs w:val="24"/>
        </w:rPr>
        <w:t xml:space="preserve"> nevertheless not aware of any violent acts committed by any participant of </w:t>
      </w:r>
      <w:r w:rsidR="00887DE3" w:rsidRPr="001205F0">
        <w:rPr>
          <w:szCs w:val="24"/>
        </w:rPr>
        <w:t xml:space="preserve">the </w:t>
      </w:r>
      <w:r w:rsidRPr="001205F0">
        <w:rPr>
          <w:szCs w:val="24"/>
        </w:rPr>
        <w:t xml:space="preserve">2023 </w:t>
      </w:r>
      <w:r w:rsidR="00722766" w:rsidRPr="001205F0">
        <w:rPr>
          <w:szCs w:val="24"/>
        </w:rPr>
        <w:t xml:space="preserve">commemoration of the so-called </w:t>
      </w:r>
      <w:r w:rsidRPr="001205F0">
        <w:rPr>
          <w:szCs w:val="24"/>
        </w:rPr>
        <w:t xml:space="preserve">Day of Honour </w:t>
      </w:r>
      <w:bookmarkEnd w:id="8"/>
      <w:r w:rsidRPr="001205F0">
        <w:rPr>
          <w:szCs w:val="24"/>
        </w:rPr>
        <w:t xml:space="preserve">that would have led to any action being taken against </w:t>
      </w:r>
      <w:r w:rsidR="00722766" w:rsidRPr="001205F0">
        <w:rPr>
          <w:szCs w:val="24"/>
        </w:rPr>
        <w:t>such participant</w:t>
      </w:r>
      <w:r w:rsidRPr="001205F0">
        <w:rPr>
          <w:szCs w:val="24"/>
        </w:rPr>
        <w:t xml:space="preserve">, other than Ilaria </w:t>
      </w:r>
      <w:proofErr w:type="spellStart"/>
      <w:r w:rsidRPr="001205F0">
        <w:rPr>
          <w:szCs w:val="24"/>
        </w:rPr>
        <w:t>Salis</w:t>
      </w:r>
      <w:proofErr w:type="spellEnd"/>
      <w:r w:rsidRPr="001205F0">
        <w:rPr>
          <w:szCs w:val="24"/>
        </w:rPr>
        <w:t xml:space="preserve"> and </w:t>
      </w:r>
      <w:r w:rsidRPr="001205F0">
        <w:t>two other defendants in the case</w:t>
      </w:r>
      <w:r w:rsidRPr="001205F0">
        <w:rPr>
          <w:szCs w:val="24"/>
        </w:rPr>
        <w:t>;</w:t>
      </w:r>
    </w:p>
    <w:p w14:paraId="4BAEA0FA" w14:textId="6F70EA81" w:rsidR="009B3D5B" w:rsidRPr="001205F0" w:rsidRDefault="009B3D5B" w:rsidP="00A565B5">
      <w:pPr>
        <w:pStyle w:val="NormalHanging12a"/>
        <w:widowControl/>
      </w:pPr>
      <w:r w:rsidRPr="001205F0">
        <w:t>C.</w:t>
      </w:r>
      <w:r w:rsidRPr="001205F0">
        <w:tab/>
        <w:t xml:space="preserve">whereas, according to the request, Ilaria </w:t>
      </w:r>
      <w:proofErr w:type="spellStart"/>
      <w:r w:rsidRPr="001205F0">
        <w:t>Salis</w:t>
      </w:r>
      <w:proofErr w:type="spellEnd"/>
      <w:r w:rsidRPr="001205F0">
        <w:t xml:space="preserve">, one of the three defendants in the case, was charged with three counts of attempted battery causing life-threatening bodily harm in the framework of a criminal organisation, in accordance with the first part of Section 164(8) and in violation of Section 164(1) of Act C of 2012 on the Hungarian Criminal Code, twice as a </w:t>
      </w:r>
      <w:r w:rsidR="00722766" w:rsidRPr="001205F0">
        <w:t xml:space="preserve">joint </w:t>
      </w:r>
      <w:r w:rsidR="00DD4FF3" w:rsidRPr="001205F0">
        <w:t>of</w:t>
      </w:r>
      <w:r w:rsidR="00722766" w:rsidRPr="001205F0">
        <w:t xml:space="preserve">fender </w:t>
      </w:r>
      <w:r w:rsidRPr="001205F0">
        <w:t xml:space="preserve">and once as an accomplice; whereas the acts allegedly committed by Ilaria </w:t>
      </w:r>
      <w:proofErr w:type="spellStart"/>
      <w:r w:rsidRPr="001205F0">
        <w:t>Salis</w:t>
      </w:r>
      <w:proofErr w:type="spellEnd"/>
      <w:r w:rsidRPr="001205F0">
        <w:t xml:space="preserve"> therefore constitute criminal offences under the Hungarian Criminal Code;</w:t>
      </w:r>
    </w:p>
    <w:p w14:paraId="05626845" w14:textId="59E151AB" w:rsidR="009B3D5B" w:rsidRPr="001205F0" w:rsidRDefault="009B3D5B" w:rsidP="00A565B5">
      <w:pPr>
        <w:pStyle w:val="NormalHanging12a"/>
        <w:widowControl/>
        <w:rPr>
          <w:szCs w:val="24"/>
          <w:shd w:val="clear" w:color="auto" w:fill="FFFFFF"/>
        </w:rPr>
      </w:pPr>
      <w:r w:rsidRPr="001205F0">
        <w:t>D.</w:t>
      </w:r>
      <w:r w:rsidRPr="001205F0">
        <w:tab/>
      </w:r>
      <w:r w:rsidRPr="001205F0">
        <w:rPr>
          <w:szCs w:val="24"/>
          <w:shd w:val="clear" w:color="auto" w:fill="FFFFFF"/>
        </w:rPr>
        <w:t xml:space="preserve">whereas </w:t>
      </w:r>
      <w:r w:rsidRPr="001205F0">
        <w:t xml:space="preserve">Ilaria </w:t>
      </w:r>
      <w:proofErr w:type="spellStart"/>
      <w:r w:rsidRPr="001205F0">
        <w:t>Salis</w:t>
      </w:r>
      <w:proofErr w:type="spellEnd"/>
      <w:r w:rsidRPr="001205F0">
        <w:t xml:space="preserve"> </w:t>
      </w:r>
      <w:r w:rsidRPr="001205F0">
        <w:rPr>
          <w:szCs w:val="24"/>
          <w:shd w:val="clear" w:color="auto" w:fill="FFFFFF"/>
        </w:rPr>
        <w:t xml:space="preserve">was elected to </w:t>
      </w:r>
      <w:r w:rsidR="00722766" w:rsidRPr="001205F0">
        <w:rPr>
          <w:szCs w:val="24"/>
          <w:shd w:val="clear" w:color="auto" w:fill="FFFFFF"/>
        </w:rPr>
        <w:t xml:space="preserve">the European </w:t>
      </w:r>
      <w:r w:rsidRPr="001205F0">
        <w:rPr>
          <w:szCs w:val="24"/>
          <w:shd w:val="clear" w:color="auto" w:fill="FFFFFF"/>
        </w:rPr>
        <w:t>Parliament in the European elections</w:t>
      </w:r>
      <w:r w:rsidR="00722766" w:rsidRPr="001205F0">
        <w:rPr>
          <w:szCs w:val="24"/>
          <w:shd w:val="clear" w:color="auto" w:fill="FFFFFF"/>
        </w:rPr>
        <w:t xml:space="preserve"> in June </w:t>
      </w:r>
      <w:proofErr w:type="gramStart"/>
      <w:r w:rsidR="00722766" w:rsidRPr="001205F0">
        <w:rPr>
          <w:szCs w:val="24"/>
          <w:shd w:val="clear" w:color="auto" w:fill="FFFFFF"/>
        </w:rPr>
        <w:t>2024</w:t>
      </w:r>
      <w:r w:rsidRPr="001205F0">
        <w:rPr>
          <w:szCs w:val="24"/>
          <w:shd w:val="clear" w:color="auto" w:fill="FFFFFF"/>
        </w:rPr>
        <w:t>;</w:t>
      </w:r>
      <w:proofErr w:type="gramEnd"/>
    </w:p>
    <w:p w14:paraId="2B46E38D" w14:textId="5AA813CA" w:rsidR="009B3D5B" w:rsidRPr="001205F0" w:rsidRDefault="009B3D5B" w:rsidP="00A565B5">
      <w:pPr>
        <w:pStyle w:val="NormalHanging12a"/>
        <w:widowControl/>
      </w:pPr>
      <w:r w:rsidRPr="001205F0">
        <w:t>E.</w:t>
      </w:r>
      <w:r w:rsidRPr="001205F0">
        <w:tab/>
        <w:t xml:space="preserve">whereas the alleged offences </w:t>
      </w:r>
      <w:r w:rsidR="00722766" w:rsidRPr="001205F0">
        <w:t xml:space="preserve">do </w:t>
      </w:r>
      <w:r w:rsidR="00607803" w:rsidRPr="001205F0">
        <w:t xml:space="preserve">not </w:t>
      </w:r>
      <w:r w:rsidR="00722766" w:rsidRPr="001205F0">
        <w:t xml:space="preserve">constitute, </w:t>
      </w:r>
      <w:r w:rsidRPr="001205F0">
        <w:t xml:space="preserve">and the subsequent request for the waiver of </w:t>
      </w:r>
      <w:r w:rsidR="00722766" w:rsidRPr="001205F0">
        <w:t xml:space="preserve">the </w:t>
      </w:r>
      <w:r w:rsidRPr="001205F0">
        <w:t xml:space="preserve">immunity </w:t>
      </w:r>
      <w:r w:rsidR="00722766" w:rsidRPr="001205F0">
        <w:t xml:space="preserve">of Ilaria </w:t>
      </w:r>
      <w:proofErr w:type="spellStart"/>
      <w:r w:rsidR="00722766" w:rsidRPr="001205F0">
        <w:t>Salis</w:t>
      </w:r>
      <w:proofErr w:type="spellEnd"/>
      <w:r w:rsidR="00722766" w:rsidRPr="001205F0">
        <w:t xml:space="preserve"> is </w:t>
      </w:r>
      <w:r w:rsidRPr="001205F0">
        <w:t>not related to</w:t>
      </w:r>
      <w:r w:rsidR="00722766" w:rsidRPr="001205F0">
        <w:t>,</w:t>
      </w:r>
      <w:r w:rsidRPr="001205F0">
        <w:t xml:space="preserve"> </w:t>
      </w:r>
      <w:r w:rsidR="00722766" w:rsidRPr="001205F0">
        <w:t xml:space="preserve">an </w:t>
      </w:r>
      <w:r w:rsidRPr="001205F0">
        <w:t xml:space="preserve">opinion </w:t>
      </w:r>
      <w:proofErr w:type="gramStart"/>
      <w:r w:rsidRPr="001205F0">
        <w:t>expressed</w:t>
      </w:r>
      <w:proofErr w:type="gramEnd"/>
      <w:r w:rsidRPr="001205F0">
        <w:t xml:space="preserve"> or </w:t>
      </w:r>
      <w:r w:rsidR="00722766" w:rsidRPr="001205F0">
        <w:t xml:space="preserve">a </w:t>
      </w:r>
      <w:r w:rsidRPr="001205F0">
        <w:t xml:space="preserve">vote cast by Ilaria </w:t>
      </w:r>
      <w:proofErr w:type="spellStart"/>
      <w:r w:rsidRPr="001205F0">
        <w:t>Salis</w:t>
      </w:r>
      <w:proofErr w:type="spellEnd"/>
      <w:r w:rsidRPr="001205F0">
        <w:t xml:space="preserve"> in the performance of her duties within the meaning of Article 8 of Protocol No 7 on the Privileges and Immunities of the European Union;</w:t>
      </w:r>
    </w:p>
    <w:p w14:paraId="599472CF" w14:textId="77777777" w:rsidR="009B3D5B" w:rsidRPr="001205F0" w:rsidRDefault="009B3D5B" w:rsidP="00A565B5">
      <w:pPr>
        <w:pStyle w:val="NormalHanging12a"/>
        <w:widowControl/>
        <w:rPr>
          <w:spacing w:val="-4"/>
        </w:rPr>
      </w:pPr>
      <w:r w:rsidRPr="001205F0">
        <w:t>F.</w:t>
      </w:r>
      <w:r w:rsidRPr="001205F0">
        <w:tab/>
        <w:t xml:space="preserve">whereas Article 9, </w:t>
      </w:r>
      <w:proofErr w:type="gramStart"/>
      <w:r w:rsidRPr="001205F0">
        <w:t>first paragraph,</w:t>
      </w:r>
      <w:proofErr w:type="gramEnd"/>
      <w:r w:rsidRPr="001205F0">
        <w:t xml:space="preserve"> of Protocol No 7 on the Privileges and Immunities of the European Union provides that Members of the European Parliament enjoy, in the territory of their own Member State, the immunities accorded to members of their parliament and, in the territory of any other Member State, immunity from any measure of detention and from legal proceedings;</w:t>
      </w:r>
    </w:p>
    <w:p w14:paraId="2F056031" w14:textId="68D604A7" w:rsidR="009B3D5B" w:rsidRPr="001205F0" w:rsidRDefault="009B3D5B" w:rsidP="00A565B5">
      <w:pPr>
        <w:pStyle w:val="NormalHanging12a"/>
        <w:widowControl/>
      </w:pPr>
      <w:r w:rsidRPr="001205F0">
        <w:t>G.</w:t>
      </w:r>
      <w:r w:rsidRPr="001205F0">
        <w:tab/>
        <w:t xml:space="preserve">whereas, in accordance with Rule 5(2) of its Rules of Procedure, parliamentary immunity is not a personal privilege of the Member, but a guarantee of the independence of </w:t>
      </w:r>
      <w:r w:rsidR="00F615CE" w:rsidRPr="001205F0">
        <w:t xml:space="preserve">the European </w:t>
      </w:r>
      <w:r w:rsidRPr="001205F0">
        <w:t xml:space="preserve">Parliament as a whole and of its </w:t>
      </w:r>
      <w:proofErr w:type="gramStart"/>
      <w:r w:rsidRPr="001205F0">
        <w:t>Members;</w:t>
      </w:r>
      <w:proofErr w:type="gramEnd"/>
    </w:p>
    <w:p w14:paraId="7C480E57" w14:textId="77777777" w:rsidR="009B3D5B" w:rsidRPr="001205F0" w:rsidRDefault="009B3D5B" w:rsidP="00A565B5">
      <w:pPr>
        <w:pStyle w:val="NormalHanging12a"/>
        <w:widowControl/>
      </w:pPr>
      <w:r w:rsidRPr="001205F0">
        <w:lastRenderedPageBreak/>
        <w:t>H.</w:t>
      </w:r>
      <w:r w:rsidRPr="001205F0">
        <w:tab/>
        <w:t>whereas it follows from the case-law of the Court of Justice of the European Union that Parliament has a ‘broad discretion when deciding whether to grant or to refuse a request for waiver of immunity (...), owing to the political nature of such a decision’</w:t>
      </w:r>
      <w:r w:rsidRPr="001205F0">
        <w:rPr>
          <w:vertAlign w:val="superscript"/>
        </w:rPr>
        <w:footnoteReference w:id="2"/>
      </w:r>
      <w:r w:rsidRPr="001205F0">
        <w:t>;</w:t>
      </w:r>
    </w:p>
    <w:p w14:paraId="735B17F0" w14:textId="5B10E9AB" w:rsidR="009B3D5B" w:rsidRPr="001205F0" w:rsidRDefault="009B3D5B" w:rsidP="00A565B5">
      <w:pPr>
        <w:pStyle w:val="NormalHanging12a"/>
        <w:widowControl/>
      </w:pPr>
      <w:r w:rsidRPr="001205F0">
        <w:t>I.</w:t>
      </w:r>
      <w:r w:rsidRPr="001205F0">
        <w:tab/>
        <w:t xml:space="preserve">whereas, in exercising that broad discretion, Parliament found in this particular case that Ilaria </w:t>
      </w:r>
      <w:proofErr w:type="spellStart"/>
      <w:r w:rsidRPr="001205F0">
        <w:t>Salis</w:t>
      </w:r>
      <w:proofErr w:type="spellEnd"/>
      <w:r w:rsidRPr="001205F0">
        <w:t xml:space="preserve"> was subjected to harsh detention conditions and measures in the course of the criminal proceedings against her; whereas it appears that the Budapest</w:t>
      </w:r>
      <w:r w:rsidR="004F6205" w:rsidRPr="001205F0">
        <w:t>-Capital</w:t>
      </w:r>
      <w:r w:rsidRPr="001205F0">
        <w:t xml:space="preserve"> Regional Court is not aware of any violent acts committed by any other participant, in particular those c</w:t>
      </w:r>
      <w:r w:rsidR="00722766" w:rsidRPr="001205F0">
        <w:t xml:space="preserve">ommemorating </w:t>
      </w:r>
      <w:r w:rsidRPr="001205F0">
        <w:t xml:space="preserve">the so-called Day of Honour in 2023, </w:t>
      </w:r>
      <w:r w:rsidRPr="001205F0">
        <w:rPr>
          <w:szCs w:val="24"/>
        </w:rPr>
        <w:t>that would have led to any action being taken against them</w:t>
      </w:r>
      <w:r w:rsidRPr="001205F0">
        <w:t xml:space="preserve">; whereas it appears, therefore, that there is doubt which could not have been dissipated as to the information received; whereas the underlying purpose of the proceedings and ensuing request therefore appears to be to silence Ilaria </w:t>
      </w:r>
      <w:proofErr w:type="spellStart"/>
      <w:r w:rsidRPr="001205F0">
        <w:t>Salis</w:t>
      </w:r>
      <w:proofErr w:type="spellEnd"/>
      <w:r w:rsidRPr="001205F0">
        <w:t xml:space="preserve"> because of her long-standing political opinions and activism, in particular in opposing the yearly neo-Nazi commemoration authorised to take place in Budapest, which are also at the base of her engagement and political activity in her capacity as a Member of the European Parliament;</w:t>
      </w:r>
    </w:p>
    <w:p w14:paraId="08B2479B" w14:textId="32E1336B" w:rsidR="009B3D5B" w:rsidRPr="001205F0" w:rsidRDefault="009B3D5B" w:rsidP="00A565B5">
      <w:pPr>
        <w:pStyle w:val="NormalHanging12a"/>
        <w:widowControl/>
      </w:pPr>
      <w:r w:rsidRPr="001205F0">
        <w:t>J.</w:t>
      </w:r>
      <w:r w:rsidRPr="001205F0">
        <w:tab/>
        <w:t xml:space="preserve">whereas it would therefore appear that, in this </w:t>
      </w:r>
      <w:r w:rsidR="00722766" w:rsidRPr="001205F0">
        <w:t>instance</w:t>
      </w:r>
      <w:r w:rsidRPr="001205F0">
        <w:t xml:space="preserve">, </w:t>
      </w:r>
      <w:proofErr w:type="spellStart"/>
      <w:r w:rsidRPr="001205F0">
        <w:rPr>
          <w:i/>
        </w:rPr>
        <w:t>fumus</w:t>
      </w:r>
      <w:proofErr w:type="spellEnd"/>
      <w:r w:rsidRPr="001205F0">
        <w:rPr>
          <w:i/>
        </w:rPr>
        <w:t xml:space="preserve"> </w:t>
      </w:r>
      <w:proofErr w:type="spellStart"/>
      <w:r w:rsidRPr="001205F0">
        <w:rPr>
          <w:i/>
        </w:rPr>
        <w:t>persecutionis</w:t>
      </w:r>
      <w:proofErr w:type="spellEnd"/>
      <w:r w:rsidRPr="001205F0">
        <w:rPr>
          <w:i/>
        </w:rPr>
        <w:t xml:space="preserve"> </w:t>
      </w:r>
      <w:r w:rsidRPr="001205F0">
        <w:rPr>
          <w:iCs/>
        </w:rPr>
        <w:t>can be assumed</w:t>
      </w:r>
      <w:r w:rsidRPr="001205F0">
        <w:t>, which is to say that there is ‘concrete evidence’</w:t>
      </w:r>
      <w:r w:rsidRPr="001205F0">
        <w:rPr>
          <w:vertAlign w:val="superscript"/>
        </w:rPr>
        <w:footnoteReference w:id="3"/>
      </w:r>
      <w:r w:rsidRPr="001205F0">
        <w:t xml:space="preserve"> that the intention underlying the legal proceedings in question is to undermine Ilaria </w:t>
      </w:r>
      <w:proofErr w:type="spellStart"/>
      <w:r w:rsidRPr="001205F0">
        <w:t>Salis</w:t>
      </w:r>
      <w:proofErr w:type="spellEnd"/>
      <w:r w:rsidRPr="001205F0">
        <w:t xml:space="preserve">’ political activity in her capacity as a Member of the European </w:t>
      </w:r>
      <w:proofErr w:type="gramStart"/>
      <w:r w:rsidRPr="001205F0">
        <w:t>Parliament;</w:t>
      </w:r>
      <w:proofErr w:type="gramEnd"/>
    </w:p>
    <w:p w14:paraId="3A71AAB3" w14:textId="77777777" w:rsidR="009B3D5B" w:rsidRPr="001205F0" w:rsidRDefault="009B3D5B" w:rsidP="00A565B5">
      <w:pPr>
        <w:pStyle w:val="NormalHanging12a"/>
        <w:widowControl/>
      </w:pPr>
      <w:r w:rsidRPr="001205F0">
        <w:t>K.</w:t>
      </w:r>
      <w:r w:rsidRPr="001205F0">
        <w:tab/>
        <w:t xml:space="preserve">whereas Parliament cannot assume the role of a court, and whereas, in a waiver of immunity procedure, a </w:t>
      </w:r>
      <w:proofErr w:type="gramStart"/>
      <w:r w:rsidRPr="001205F0">
        <w:t>Member</w:t>
      </w:r>
      <w:proofErr w:type="gramEnd"/>
      <w:r w:rsidRPr="001205F0">
        <w:t xml:space="preserve"> cannot be regarded as a defendant</w:t>
      </w:r>
      <w:r w:rsidRPr="001205F0">
        <w:rPr>
          <w:rStyle w:val="FootnoteReference"/>
          <w:color w:val="000000"/>
        </w:rPr>
        <w:footnoteReference w:id="4"/>
      </w:r>
      <w:r w:rsidRPr="001205F0">
        <w:t>;</w:t>
      </w:r>
    </w:p>
    <w:p w14:paraId="35AE6101" w14:textId="77777777" w:rsidR="009B3D5B" w:rsidRPr="001205F0" w:rsidRDefault="009B3D5B" w:rsidP="00A565B5">
      <w:pPr>
        <w:pStyle w:val="NormalHanging12a"/>
        <w:widowControl/>
      </w:pPr>
      <w:r w:rsidRPr="001205F0">
        <w:t>1.</w:t>
      </w:r>
      <w:r w:rsidRPr="001205F0">
        <w:tab/>
        <w:t xml:space="preserve">Decides not to waive the immunity of Ilaria </w:t>
      </w:r>
      <w:proofErr w:type="spellStart"/>
      <w:proofErr w:type="gramStart"/>
      <w:r w:rsidRPr="001205F0">
        <w:t>Salis</w:t>
      </w:r>
      <w:proofErr w:type="spellEnd"/>
      <w:r w:rsidRPr="001205F0">
        <w:t>;</w:t>
      </w:r>
      <w:proofErr w:type="gramEnd"/>
    </w:p>
    <w:p w14:paraId="7DCC443E" w14:textId="2E1DDB0F" w:rsidR="00D062F1" w:rsidRPr="00D062F1" w:rsidRDefault="009B3D5B" w:rsidP="00A565B5">
      <w:pPr>
        <w:pStyle w:val="NormalHanging12a"/>
        <w:widowControl/>
      </w:pPr>
      <w:r w:rsidRPr="001205F0">
        <w:t>2.</w:t>
      </w:r>
      <w:r w:rsidRPr="001205F0">
        <w:tab/>
        <w:t xml:space="preserve">Instructs its President to forward this decision and the report of its committee responsible immediately to the competent authority in Hungary and to Ilaria </w:t>
      </w:r>
      <w:proofErr w:type="spellStart"/>
      <w:r w:rsidRPr="001205F0">
        <w:t>Salis</w:t>
      </w:r>
      <w:proofErr w:type="spellEnd"/>
      <w:r w:rsidRPr="001205F0">
        <w:t>.</w:t>
      </w:r>
    </w:p>
    <w:p w14:paraId="32271CAF" w14:textId="178D9298" w:rsidR="00E365E1" w:rsidRPr="00D062F1" w:rsidRDefault="00E365E1" w:rsidP="00A565B5">
      <w:pPr>
        <w:widowControl/>
        <w:spacing w:after="240"/>
        <w:ind w:left="567" w:hanging="567"/>
      </w:pPr>
    </w:p>
    <w:sectPr w:rsidR="00E365E1" w:rsidRPr="00D062F1" w:rsidSect="00D062F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355F1" w14:textId="77777777" w:rsidR="00086F13" w:rsidRPr="00D062F1" w:rsidRDefault="00086F13">
      <w:r w:rsidRPr="00D062F1">
        <w:separator/>
      </w:r>
    </w:p>
  </w:endnote>
  <w:endnote w:type="continuationSeparator" w:id="0">
    <w:p w14:paraId="001DF523" w14:textId="77777777" w:rsidR="00086F13" w:rsidRPr="00D062F1" w:rsidRDefault="00086F13">
      <w:r w:rsidRPr="00D062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D481" w14:textId="77777777" w:rsidR="00064002" w:rsidRPr="00D062F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921BE" w14:textId="77777777" w:rsidR="00064002" w:rsidRPr="00D062F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F20FB" w14:textId="77777777" w:rsidR="00064002" w:rsidRPr="00D062F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B2FE1" w14:textId="77777777" w:rsidR="00086F13" w:rsidRPr="00D062F1" w:rsidRDefault="00086F13">
      <w:r w:rsidRPr="00D062F1">
        <w:separator/>
      </w:r>
    </w:p>
  </w:footnote>
  <w:footnote w:type="continuationSeparator" w:id="0">
    <w:p w14:paraId="7225D2B7" w14:textId="77777777" w:rsidR="00086F13" w:rsidRPr="00D062F1" w:rsidRDefault="00086F13">
      <w:r w:rsidRPr="00D062F1">
        <w:continuationSeparator/>
      </w:r>
    </w:p>
  </w:footnote>
  <w:footnote w:id="1">
    <w:p w14:paraId="1006E06D" w14:textId="3AB6D79C" w:rsidR="009B3D5B" w:rsidRPr="00D062F1" w:rsidRDefault="009B3D5B" w:rsidP="00A565B5">
      <w:pPr>
        <w:pStyle w:val="FootnoteText"/>
        <w:keepLines w:val="0"/>
        <w:ind w:left="567" w:hanging="567"/>
        <w:rPr>
          <w:sz w:val="24"/>
          <w:lang w:val="en-GB"/>
        </w:rPr>
      </w:pPr>
      <w:r w:rsidRPr="00D062F1">
        <w:rPr>
          <w:rStyle w:val="FootnoteReference"/>
          <w:sz w:val="24"/>
          <w:lang w:val="en-GB"/>
        </w:rPr>
        <w:footnoteRef/>
      </w:r>
      <w:r w:rsidR="00D062F1" w:rsidRPr="00D062F1">
        <w:rPr>
          <w:sz w:val="24"/>
          <w:lang w:val="en-GB"/>
        </w:rPr>
        <w:t xml:space="preserve"> </w:t>
      </w:r>
      <w:r w:rsidR="00D062F1" w:rsidRPr="00D062F1">
        <w:rPr>
          <w:sz w:val="24"/>
          <w:lang w:val="en-GB"/>
        </w:rPr>
        <w:tab/>
      </w:r>
      <w:r w:rsidRPr="00D062F1">
        <w:rPr>
          <w:sz w:val="24"/>
          <w:lang w:val="en-GB"/>
        </w:rPr>
        <w:t xml:space="preserve">Judgment of the Court of Justice of 21 October 2008, </w:t>
      </w:r>
      <w:r w:rsidRPr="00D062F1">
        <w:rPr>
          <w:i/>
          <w:sz w:val="24"/>
          <w:lang w:val="en-GB"/>
        </w:rPr>
        <w:t>Marra</w:t>
      </w:r>
      <w:r w:rsidRPr="00D062F1">
        <w:rPr>
          <w:sz w:val="24"/>
          <w:lang w:val="en-GB"/>
        </w:rPr>
        <w:t xml:space="preserve"> v </w:t>
      </w:r>
      <w:r w:rsidRPr="00D062F1">
        <w:rPr>
          <w:i/>
          <w:sz w:val="24"/>
          <w:lang w:val="en-GB"/>
        </w:rPr>
        <w:t>De Gregorio and Clemente</w:t>
      </w:r>
      <w:r w:rsidRPr="00D062F1">
        <w:rPr>
          <w:sz w:val="24"/>
          <w:lang w:val="en-GB"/>
        </w:rPr>
        <w:t xml:space="preserve">, C-200/07 and C-201/07, ECLI:EU:C:2008:579; judgment of the General Court of 19 March 2010, </w:t>
      </w:r>
      <w:proofErr w:type="spellStart"/>
      <w:r w:rsidRPr="00D062F1">
        <w:rPr>
          <w:i/>
          <w:sz w:val="24"/>
          <w:lang w:val="en-GB"/>
        </w:rPr>
        <w:t>Gollnisch</w:t>
      </w:r>
      <w:proofErr w:type="spellEnd"/>
      <w:r w:rsidRPr="00D062F1">
        <w:rPr>
          <w:sz w:val="24"/>
          <w:lang w:val="en-GB"/>
        </w:rPr>
        <w:t xml:space="preserve"> v </w:t>
      </w:r>
      <w:r w:rsidRPr="00D062F1">
        <w:rPr>
          <w:i/>
          <w:sz w:val="24"/>
          <w:lang w:val="en-GB"/>
        </w:rPr>
        <w:t>Parliament</w:t>
      </w:r>
      <w:r w:rsidRPr="00D062F1">
        <w:rPr>
          <w:sz w:val="24"/>
          <w:lang w:val="en-GB"/>
        </w:rPr>
        <w:t xml:space="preserve">, T-42/06, ECLI:EU:T:2010:102; judgment of the Court of Justice of 6 September 2011, </w:t>
      </w:r>
      <w:proofErr w:type="spellStart"/>
      <w:r w:rsidRPr="00D062F1">
        <w:rPr>
          <w:i/>
          <w:sz w:val="24"/>
          <w:lang w:val="en-GB"/>
        </w:rPr>
        <w:t>Patriciello</w:t>
      </w:r>
      <w:proofErr w:type="spellEnd"/>
      <w:r w:rsidRPr="00D062F1">
        <w:rPr>
          <w:sz w:val="24"/>
          <w:lang w:val="en-GB"/>
        </w:rPr>
        <w:t xml:space="preserve">, C-163/10, ECLI: EU:C:2011:543; judgment of the General Court of 17 January 2013, </w:t>
      </w:r>
      <w:proofErr w:type="spellStart"/>
      <w:r w:rsidRPr="00D062F1">
        <w:rPr>
          <w:i/>
          <w:sz w:val="24"/>
          <w:lang w:val="en-GB"/>
        </w:rPr>
        <w:t>Gollnisch</w:t>
      </w:r>
      <w:proofErr w:type="spellEnd"/>
      <w:r w:rsidRPr="00D062F1">
        <w:rPr>
          <w:sz w:val="24"/>
          <w:lang w:val="en-GB"/>
        </w:rPr>
        <w:t xml:space="preserve"> v </w:t>
      </w:r>
      <w:r w:rsidRPr="00D062F1">
        <w:rPr>
          <w:i/>
          <w:sz w:val="24"/>
          <w:lang w:val="en-GB"/>
        </w:rPr>
        <w:t>Parliament</w:t>
      </w:r>
      <w:r w:rsidRPr="00D062F1">
        <w:rPr>
          <w:sz w:val="24"/>
          <w:lang w:val="en-GB"/>
        </w:rPr>
        <w:t xml:space="preserve">, T-346/11 and T-347/11, ECLI:EU:T:2013:23; judgment of the Court of Justice of 19 December 2019, </w:t>
      </w:r>
      <w:r w:rsidRPr="00D062F1">
        <w:rPr>
          <w:i/>
          <w:sz w:val="24"/>
          <w:lang w:val="en-GB"/>
        </w:rPr>
        <w:t>Junqueras Vies</w:t>
      </w:r>
      <w:r w:rsidRPr="00D062F1">
        <w:rPr>
          <w:sz w:val="24"/>
          <w:lang w:val="en-GB"/>
        </w:rPr>
        <w:t xml:space="preserve">, C-502/19, ECLI:EU:C:2019:1115; judgment of the General Court of 5 July 2023, </w:t>
      </w:r>
      <w:r w:rsidRPr="00D062F1">
        <w:rPr>
          <w:i/>
          <w:sz w:val="24"/>
          <w:lang w:val="en-GB"/>
        </w:rPr>
        <w:t xml:space="preserve">Puigdemont </w:t>
      </w:r>
      <w:proofErr w:type="spellStart"/>
      <w:r w:rsidRPr="00D062F1">
        <w:rPr>
          <w:i/>
          <w:sz w:val="24"/>
          <w:lang w:val="en-GB"/>
        </w:rPr>
        <w:t>i</w:t>
      </w:r>
      <w:proofErr w:type="spellEnd"/>
      <w:r w:rsidRPr="00D062F1">
        <w:rPr>
          <w:i/>
          <w:sz w:val="24"/>
          <w:lang w:val="en-GB"/>
        </w:rPr>
        <w:t xml:space="preserve"> </w:t>
      </w:r>
      <w:proofErr w:type="spellStart"/>
      <w:r w:rsidRPr="00D062F1">
        <w:rPr>
          <w:i/>
          <w:sz w:val="24"/>
          <w:lang w:val="en-GB"/>
        </w:rPr>
        <w:t>Casamajó</w:t>
      </w:r>
      <w:proofErr w:type="spellEnd"/>
      <w:r w:rsidRPr="00D062F1">
        <w:rPr>
          <w:i/>
          <w:sz w:val="24"/>
          <w:lang w:val="en-GB"/>
        </w:rPr>
        <w:t xml:space="preserve"> and Others </w:t>
      </w:r>
      <w:r w:rsidRPr="00D062F1">
        <w:rPr>
          <w:sz w:val="24"/>
          <w:lang w:val="en-GB"/>
        </w:rPr>
        <w:t xml:space="preserve">v </w:t>
      </w:r>
      <w:r w:rsidRPr="00D062F1">
        <w:rPr>
          <w:i/>
          <w:sz w:val="24"/>
          <w:lang w:val="en-GB"/>
        </w:rPr>
        <w:t>Parliament</w:t>
      </w:r>
      <w:r w:rsidRPr="00D062F1">
        <w:rPr>
          <w:sz w:val="24"/>
          <w:lang w:val="en-GB"/>
        </w:rPr>
        <w:t>, T-272/21, ECLI:EU:T:2023:373.</w:t>
      </w:r>
    </w:p>
  </w:footnote>
  <w:footnote w:id="2">
    <w:p w14:paraId="72DC80AC" w14:textId="5640BEFF" w:rsidR="009B3D5B" w:rsidRPr="00D062F1" w:rsidRDefault="009B3D5B" w:rsidP="00A565B5">
      <w:pPr>
        <w:pStyle w:val="FootnoteText"/>
        <w:keepLines w:val="0"/>
        <w:ind w:left="567" w:hanging="567"/>
        <w:rPr>
          <w:sz w:val="24"/>
          <w:lang w:val="en-GB"/>
        </w:rPr>
      </w:pPr>
      <w:r w:rsidRPr="00D062F1">
        <w:rPr>
          <w:rStyle w:val="FootnoteReference"/>
          <w:sz w:val="24"/>
          <w:lang w:val="en-GB"/>
        </w:rPr>
        <w:footnoteRef/>
      </w:r>
      <w:r w:rsidR="00D062F1" w:rsidRPr="00D062F1">
        <w:rPr>
          <w:sz w:val="24"/>
          <w:lang w:val="en-GB"/>
        </w:rPr>
        <w:t xml:space="preserve"> </w:t>
      </w:r>
      <w:r w:rsidR="00D062F1" w:rsidRPr="00D062F1">
        <w:rPr>
          <w:sz w:val="24"/>
          <w:lang w:val="en-GB"/>
        </w:rPr>
        <w:tab/>
      </w:r>
      <w:r w:rsidRPr="00D062F1">
        <w:rPr>
          <w:sz w:val="24"/>
          <w:lang w:val="en-GB"/>
        </w:rPr>
        <w:t xml:space="preserve">Judgment of the General Court of 17 January 2013, </w:t>
      </w:r>
      <w:proofErr w:type="spellStart"/>
      <w:r w:rsidRPr="00D062F1">
        <w:rPr>
          <w:i/>
          <w:iCs/>
          <w:sz w:val="24"/>
          <w:lang w:val="en-GB"/>
        </w:rPr>
        <w:t>Gollnisch</w:t>
      </w:r>
      <w:proofErr w:type="spellEnd"/>
      <w:r w:rsidRPr="00D062F1">
        <w:rPr>
          <w:sz w:val="24"/>
          <w:lang w:val="en-GB"/>
        </w:rPr>
        <w:t xml:space="preserve"> v </w:t>
      </w:r>
      <w:r w:rsidRPr="00D062F1">
        <w:rPr>
          <w:i/>
          <w:iCs/>
          <w:sz w:val="24"/>
          <w:lang w:val="en-GB"/>
        </w:rPr>
        <w:t>Parliament</w:t>
      </w:r>
      <w:r w:rsidRPr="00D062F1">
        <w:rPr>
          <w:sz w:val="24"/>
          <w:lang w:val="en-GB"/>
        </w:rPr>
        <w:t>, T-346/11 and T-347/11, ECLI:</w:t>
      </w:r>
      <w:proofErr w:type="gramStart"/>
      <w:r w:rsidRPr="00D062F1">
        <w:rPr>
          <w:sz w:val="24"/>
          <w:lang w:val="en-GB"/>
        </w:rPr>
        <w:t>EU:T</w:t>
      </w:r>
      <w:proofErr w:type="gramEnd"/>
      <w:r w:rsidRPr="00D062F1">
        <w:rPr>
          <w:sz w:val="24"/>
          <w:lang w:val="en-GB"/>
        </w:rPr>
        <w:t>:2013:23, paragraph 59 and the case-law cited.</w:t>
      </w:r>
    </w:p>
  </w:footnote>
  <w:footnote w:id="3">
    <w:p w14:paraId="104146D7" w14:textId="579A3E54" w:rsidR="009B3D5B" w:rsidRPr="00D062F1" w:rsidRDefault="009B3D5B" w:rsidP="00A565B5">
      <w:pPr>
        <w:pStyle w:val="FootnoteText"/>
        <w:keepLines w:val="0"/>
        <w:ind w:left="567" w:hanging="567"/>
        <w:rPr>
          <w:sz w:val="24"/>
          <w:lang w:val="en-GB"/>
        </w:rPr>
      </w:pPr>
      <w:r w:rsidRPr="00D062F1">
        <w:rPr>
          <w:rStyle w:val="FootnoteReference"/>
          <w:sz w:val="24"/>
          <w:lang w:val="en-GB"/>
        </w:rPr>
        <w:footnoteRef/>
      </w:r>
      <w:r w:rsidR="00D062F1" w:rsidRPr="00D062F1">
        <w:rPr>
          <w:sz w:val="24"/>
          <w:lang w:val="en-GB"/>
        </w:rPr>
        <w:t xml:space="preserve"> </w:t>
      </w:r>
      <w:r w:rsidR="00D062F1" w:rsidRPr="00D062F1">
        <w:rPr>
          <w:sz w:val="24"/>
          <w:lang w:val="en-GB"/>
        </w:rPr>
        <w:tab/>
      </w:r>
      <w:r w:rsidRPr="00D062F1">
        <w:rPr>
          <w:sz w:val="24"/>
          <w:lang w:val="en-GB"/>
        </w:rPr>
        <w:t xml:space="preserve">Judgment of the Court of Justice of 17 September 2020, </w:t>
      </w:r>
      <w:proofErr w:type="spellStart"/>
      <w:r w:rsidRPr="00D062F1">
        <w:rPr>
          <w:i/>
          <w:iCs/>
          <w:sz w:val="24"/>
          <w:lang w:val="en-GB"/>
        </w:rPr>
        <w:t>Troszczynski</w:t>
      </w:r>
      <w:proofErr w:type="spellEnd"/>
      <w:r w:rsidRPr="00D062F1">
        <w:rPr>
          <w:sz w:val="24"/>
          <w:lang w:val="en-GB"/>
        </w:rPr>
        <w:t xml:space="preserve"> v </w:t>
      </w:r>
      <w:r w:rsidRPr="00D062F1">
        <w:rPr>
          <w:i/>
          <w:iCs/>
          <w:sz w:val="24"/>
          <w:lang w:val="en-GB"/>
        </w:rPr>
        <w:t>Parliament</w:t>
      </w:r>
      <w:r w:rsidRPr="00D062F1">
        <w:rPr>
          <w:sz w:val="24"/>
          <w:lang w:val="en-GB"/>
        </w:rPr>
        <w:t>, C-12/19 P, ECLI:EU:C:2020:725, paragraph 26.</w:t>
      </w:r>
    </w:p>
  </w:footnote>
  <w:footnote w:id="4">
    <w:p w14:paraId="33475F6D" w14:textId="254BA20D" w:rsidR="009B3D5B" w:rsidRPr="00D062F1" w:rsidRDefault="009B3D5B" w:rsidP="00A565B5">
      <w:pPr>
        <w:pStyle w:val="FootnoteText"/>
        <w:keepLines w:val="0"/>
        <w:ind w:left="567" w:hanging="567"/>
        <w:rPr>
          <w:sz w:val="24"/>
          <w:lang w:val="en-GB"/>
        </w:rPr>
      </w:pPr>
      <w:r w:rsidRPr="00D062F1">
        <w:rPr>
          <w:rStyle w:val="FootnoteReference"/>
          <w:sz w:val="24"/>
          <w:lang w:val="en-GB"/>
        </w:rPr>
        <w:footnoteRef/>
      </w:r>
      <w:r w:rsidR="00D062F1" w:rsidRPr="00D062F1">
        <w:rPr>
          <w:sz w:val="24"/>
          <w:lang w:val="en-GB"/>
        </w:rPr>
        <w:t xml:space="preserve"> </w:t>
      </w:r>
      <w:r w:rsidR="00D062F1" w:rsidRPr="00D062F1">
        <w:rPr>
          <w:sz w:val="24"/>
          <w:lang w:val="en-GB"/>
        </w:rPr>
        <w:tab/>
      </w:r>
      <w:r w:rsidRPr="00D062F1">
        <w:rPr>
          <w:sz w:val="24"/>
          <w:lang w:val="en-GB"/>
        </w:rPr>
        <w:t xml:space="preserve">Judgment of the General Court of 30 April 2019, </w:t>
      </w:r>
      <w:proofErr w:type="spellStart"/>
      <w:r w:rsidRPr="00D062F1">
        <w:rPr>
          <w:i/>
          <w:sz w:val="24"/>
          <w:lang w:val="en-GB"/>
        </w:rPr>
        <w:t>Briois</w:t>
      </w:r>
      <w:proofErr w:type="spellEnd"/>
      <w:r w:rsidRPr="00D062F1">
        <w:rPr>
          <w:sz w:val="24"/>
          <w:lang w:val="en-GB"/>
        </w:rPr>
        <w:t xml:space="preserve"> v </w:t>
      </w:r>
      <w:r w:rsidRPr="00D062F1">
        <w:rPr>
          <w:i/>
          <w:sz w:val="24"/>
          <w:lang w:val="en-GB"/>
        </w:rPr>
        <w:t>Parliament</w:t>
      </w:r>
      <w:r w:rsidRPr="00D062F1">
        <w:rPr>
          <w:sz w:val="24"/>
          <w:lang w:val="en-GB"/>
        </w:rPr>
        <w:t>, T-214/18, ECLI:</w:t>
      </w:r>
      <w:proofErr w:type="gramStart"/>
      <w:r w:rsidRPr="00D062F1">
        <w:rPr>
          <w:sz w:val="24"/>
          <w:lang w:val="en-GB"/>
        </w:rPr>
        <w:t>EU:T</w:t>
      </w:r>
      <w:proofErr w:type="gramEnd"/>
      <w:r w:rsidRPr="00D062F1">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EEDD5" w14:textId="77777777" w:rsidR="00064002" w:rsidRPr="00D062F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454BC" w14:textId="77777777" w:rsidR="00064002" w:rsidRPr="00D062F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416C" w14:textId="77777777" w:rsidR="00064002" w:rsidRPr="00D062F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14749592">
    <w:abstractNumId w:val="9"/>
  </w:num>
  <w:num w:numId="2" w16cid:durableId="931354876">
    <w:abstractNumId w:val="9"/>
  </w:num>
  <w:num w:numId="3" w16cid:durableId="1580745400">
    <w:abstractNumId w:val="7"/>
  </w:num>
  <w:num w:numId="4" w16cid:durableId="1252007873">
    <w:abstractNumId w:val="7"/>
  </w:num>
  <w:num w:numId="5" w16cid:durableId="1971550496">
    <w:abstractNumId w:val="6"/>
  </w:num>
  <w:num w:numId="6" w16cid:durableId="991524368">
    <w:abstractNumId w:val="6"/>
  </w:num>
  <w:num w:numId="7" w16cid:durableId="53312519">
    <w:abstractNumId w:val="5"/>
  </w:num>
  <w:num w:numId="8" w16cid:durableId="593243629">
    <w:abstractNumId w:val="5"/>
  </w:num>
  <w:num w:numId="9" w16cid:durableId="1711101883">
    <w:abstractNumId w:val="4"/>
  </w:num>
  <w:num w:numId="10" w16cid:durableId="946043810">
    <w:abstractNumId w:val="4"/>
  </w:num>
  <w:num w:numId="11" w16cid:durableId="1535998576">
    <w:abstractNumId w:val="8"/>
  </w:num>
  <w:num w:numId="12" w16cid:durableId="1152988245">
    <w:abstractNumId w:val="8"/>
  </w:num>
  <w:num w:numId="13" w16cid:durableId="564873912">
    <w:abstractNumId w:val="3"/>
  </w:num>
  <w:num w:numId="14" w16cid:durableId="1959290761">
    <w:abstractNumId w:val="3"/>
  </w:num>
  <w:num w:numId="15" w16cid:durableId="1952545975">
    <w:abstractNumId w:val="2"/>
  </w:num>
  <w:num w:numId="16" w16cid:durableId="2010982766">
    <w:abstractNumId w:val="2"/>
  </w:num>
  <w:num w:numId="17" w16cid:durableId="516503517">
    <w:abstractNumId w:val="1"/>
  </w:num>
  <w:num w:numId="18" w16cid:durableId="1754203290">
    <w:abstractNumId w:val="1"/>
  </w:num>
  <w:num w:numId="19" w16cid:durableId="440227268">
    <w:abstractNumId w:val="0"/>
  </w:num>
  <w:num w:numId="20" w16cid:durableId="203295162">
    <w:abstractNumId w:val="0"/>
  </w:num>
  <w:num w:numId="21" w16cid:durableId="361319134">
    <w:abstractNumId w:val="9"/>
  </w:num>
  <w:num w:numId="22" w16cid:durableId="324481418">
    <w:abstractNumId w:val="7"/>
  </w:num>
  <w:num w:numId="23" w16cid:durableId="2121683132">
    <w:abstractNumId w:val="6"/>
  </w:num>
  <w:num w:numId="24" w16cid:durableId="111558884">
    <w:abstractNumId w:val="5"/>
  </w:num>
  <w:num w:numId="25" w16cid:durableId="858472581">
    <w:abstractNumId w:val="4"/>
  </w:num>
  <w:num w:numId="26" w16cid:durableId="1020350919">
    <w:abstractNumId w:val="8"/>
  </w:num>
  <w:num w:numId="27" w16cid:durableId="1245602260">
    <w:abstractNumId w:val="3"/>
  </w:num>
  <w:num w:numId="28" w16cid:durableId="1519276279">
    <w:abstractNumId w:val="2"/>
  </w:num>
  <w:num w:numId="29" w16cid:durableId="234508370">
    <w:abstractNumId w:val="1"/>
  </w:num>
  <w:num w:numId="30" w16cid:durableId="2061518258">
    <w:abstractNumId w:val="0"/>
  </w:num>
  <w:num w:numId="31" w16cid:durableId="365639528">
    <w:abstractNumId w:val="9"/>
  </w:num>
  <w:num w:numId="32" w16cid:durableId="712341211">
    <w:abstractNumId w:val="7"/>
  </w:num>
  <w:num w:numId="33" w16cid:durableId="1508863010">
    <w:abstractNumId w:val="6"/>
  </w:num>
  <w:num w:numId="34" w16cid:durableId="954750622">
    <w:abstractNumId w:val="5"/>
  </w:num>
  <w:num w:numId="35" w16cid:durableId="289945789">
    <w:abstractNumId w:val="4"/>
  </w:num>
  <w:num w:numId="36" w16cid:durableId="1679229614">
    <w:abstractNumId w:val="8"/>
  </w:num>
  <w:num w:numId="37" w16cid:durableId="572204720">
    <w:abstractNumId w:val="3"/>
  </w:num>
  <w:num w:numId="38" w16cid:durableId="764228100">
    <w:abstractNumId w:val="2"/>
  </w:num>
  <w:num w:numId="39" w16cid:durableId="1409183729">
    <w:abstractNumId w:val="1"/>
  </w:num>
  <w:num w:numId="40" w16cid:durableId="50200746">
    <w:abstractNumId w:val="0"/>
  </w:num>
  <w:num w:numId="41" w16cid:durableId="214631191">
    <w:abstractNumId w:val="10"/>
  </w:num>
  <w:num w:numId="42" w16cid:durableId="1015959779">
    <w:abstractNumId w:val="10"/>
  </w:num>
  <w:num w:numId="43" w16cid:durableId="1967350181">
    <w:abstractNumId w:val="10"/>
  </w:num>
  <w:num w:numId="44" w16cid:durableId="17237540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83/2025"/>
    <w:docVar w:name="dvlangue" w:val="EN"/>
    <w:docVar w:name="dvnumam" w:val="0"/>
    <w:docVar w:name="dvpe" w:val="774.380"/>
    <w:docVar w:name="dvrapporteur" w:val="Rapporteur: "/>
    <w:docVar w:name="dvtitre" w:val="European Parliament decision of xx October 2025 on the request for the waiver of the immunity of Ilaria Salis(2024/2086(IMM))"/>
  </w:docVars>
  <w:rsids>
    <w:rsidRoot w:val="00086F13"/>
    <w:rsid w:val="00002272"/>
    <w:rsid w:val="00064002"/>
    <w:rsid w:val="000677B9"/>
    <w:rsid w:val="000816A7"/>
    <w:rsid w:val="000831BA"/>
    <w:rsid w:val="00086F13"/>
    <w:rsid w:val="000A42CC"/>
    <w:rsid w:val="000E7DD9"/>
    <w:rsid w:val="0010095E"/>
    <w:rsid w:val="001205F0"/>
    <w:rsid w:val="00125B37"/>
    <w:rsid w:val="00187494"/>
    <w:rsid w:val="001F32AE"/>
    <w:rsid w:val="002767FF"/>
    <w:rsid w:val="002B18FE"/>
    <w:rsid w:val="002B5493"/>
    <w:rsid w:val="00343214"/>
    <w:rsid w:val="00361C00"/>
    <w:rsid w:val="00395FA1"/>
    <w:rsid w:val="003E15D4"/>
    <w:rsid w:val="00405886"/>
    <w:rsid w:val="00411CCE"/>
    <w:rsid w:val="0041666E"/>
    <w:rsid w:val="00421060"/>
    <w:rsid w:val="00471C19"/>
    <w:rsid w:val="004867E3"/>
    <w:rsid w:val="00494A28"/>
    <w:rsid w:val="004C0004"/>
    <w:rsid w:val="004C5D52"/>
    <w:rsid w:val="004F6205"/>
    <w:rsid w:val="0050519A"/>
    <w:rsid w:val="005072A1"/>
    <w:rsid w:val="0051298B"/>
    <w:rsid w:val="00514517"/>
    <w:rsid w:val="00545827"/>
    <w:rsid w:val="00560270"/>
    <w:rsid w:val="005C2568"/>
    <w:rsid w:val="005F1B17"/>
    <w:rsid w:val="006037C0"/>
    <w:rsid w:val="00607803"/>
    <w:rsid w:val="006631B6"/>
    <w:rsid w:val="00680577"/>
    <w:rsid w:val="006C3F85"/>
    <w:rsid w:val="006F74FA"/>
    <w:rsid w:val="00722766"/>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87DE3"/>
    <w:rsid w:val="008C2AC6"/>
    <w:rsid w:val="008F4AC8"/>
    <w:rsid w:val="00930118"/>
    <w:rsid w:val="00930C23"/>
    <w:rsid w:val="0093193B"/>
    <w:rsid w:val="009509D8"/>
    <w:rsid w:val="00950B64"/>
    <w:rsid w:val="00981893"/>
    <w:rsid w:val="009B3D5B"/>
    <w:rsid w:val="00A1687D"/>
    <w:rsid w:val="00A350F9"/>
    <w:rsid w:val="00A43E52"/>
    <w:rsid w:val="00A4678D"/>
    <w:rsid w:val="00A565B5"/>
    <w:rsid w:val="00A778C7"/>
    <w:rsid w:val="00AB441E"/>
    <w:rsid w:val="00AB6293"/>
    <w:rsid w:val="00AE0928"/>
    <w:rsid w:val="00AF3B82"/>
    <w:rsid w:val="00B12E95"/>
    <w:rsid w:val="00B22876"/>
    <w:rsid w:val="00B42AB9"/>
    <w:rsid w:val="00B558F0"/>
    <w:rsid w:val="00BD48FE"/>
    <w:rsid w:val="00BD7BD8"/>
    <w:rsid w:val="00BE6ADC"/>
    <w:rsid w:val="00C05BFE"/>
    <w:rsid w:val="00C23CD4"/>
    <w:rsid w:val="00C61C0C"/>
    <w:rsid w:val="00C941CB"/>
    <w:rsid w:val="00CC2357"/>
    <w:rsid w:val="00CD39C7"/>
    <w:rsid w:val="00CF071A"/>
    <w:rsid w:val="00D058B8"/>
    <w:rsid w:val="00D062F1"/>
    <w:rsid w:val="00D56C11"/>
    <w:rsid w:val="00D834A0"/>
    <w:rsid w:val="00D872DF"/>
    <w:rsid w:val="00D91E21"/>
    <w:rsid w:val="00DA7FCD"/>
    <w:rsid w:val="00DD4FF3"/>
    <w:rsid w:val="00E365E1"/>
    <w:rsid w:val="00E755C5"/>
    <w:rsid w:val="00E820A4"/>
    <w:rsid w:val="00EB006A"/>
    <w:rsid w:val="00EB4326"/>
    <w:rsid w:val="00EB4772"/>
    <w:rsid w:val="00ED169E"/>
    <w:rsid w:val="00ED4235"/>
    <w:rsid w:val="00F04346"/>
    <w:rsid w:val="00F075DC"/>
    <w:rsid w:val="00F149E9"/>
    <w:rsid w:val="00F5134D"/>
    <w:rsid w:val="00F615CE"/>
    <w:rsid w:val="00F74202"/>
    <w:rsid w:val="00F87713"/>
    <w:rsid w:val="00FA6830"/>
    <w:rsid w:val="00FB2A7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4A5E0"/>
  <w15:chartTrackingRefBased/>
  <w15:docId w15:val="{756277E2-E4BF-48D8-B659-943F491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9B3D5B"/>
    <w:pPr>
      <w:spacing w:after="240"/>
      <w:ind w:left="567" w:hanging="567"/>
    </w:pPr>
  </w:style>
  <w:style w:type="paragraph" w:customStyle="1" w:styleId="EPComma">
    <w:name w:val="EPComma"/>
    <w:basedOn w:val="Normal"/>
    <w:rsid w:val="009B3D5B"/>
    <w:pPr>
      <w:spacing w:before="480" w:after="240"/>
    </w:pPr>
  </w:style>
  <w:style w:type="character" w:styleId="CommentReference">
    <w:name w:val="annotation reference"/>
    <w:basedOn w:val="DefaultParagraphFont"/>
    <w:rsid w:val="00930118"/>
    <w:rPr>
      <w:sz w:val="16"/>
      <w:szCs w:val="16"/>
    </w:rPr>
  </w:style>
  <w:style w:type="paragraph" w:styleId="CommentText">
    <w:name w:val="annotation text"/>
    <w:basedOn w:val="Normal"/>
    <w:link w:val="CommentTextChar"/>
    <w:rsid w:val="00930118"/>
    <w:rPr>
      <w:sz w:val="20"/>
    </w:rPr>
  </w:style>
  <w:style w:type="character" w:customStyle="1" w:styleId="CommentTextChar">
    <w:name w:val="Comment Text Char"/>
    <w:basedOn w:val="DefaultParagraphFont"/>
    <w:link w:val="CommentText"/>
    <w:rsid w:val="00930118"/>
  </w:style>
  <w:style w:type="paragraph" w:styleId="CommentSubject">
    <w:name w:val="annotation subject"/>
    <w:basedOn w:val="CommentText"/>
    <w:next w:val="CommentText"/>
    <w:link w:val="CommentSubjectChar"/>
    <w:rsid w:val="00930118"/>
    <w:rPr>
      <w:b/>
      <w:bCs/>
    </w:rPr>
  </w:style>
  <w:style w:type="character" w:customStyle="1" w:styleId="CommentSubjectChar">
    <w:name w:val="Comment Subject Char"/>
    <w:basedOn w:val="CommentTextChar"/>
    <w:link w:val="CommentSubject"/>
    <w:rsid w:val="00930118"/>
    <w:rPr>
      <w:b/>
      <w:bCs/>
    </w:rPr>
  </w:style>
  <w:style w:type="paragraph" w:styleId="Revision">
    <w:name w:val="Revision"/>
    <w:hidden/>
    <w:uiPriority w:val="99"/>
    <w:semiHidden/>
    <w:rsid w:val="0093011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1032</Words>
  <Characters>5430</Characters>
  <Application>Microsoft Office Word</Application>
  <DocSecurity>0</DocSecurity>
  <Lines>92</Lines>
  <Paragraphs>34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2025-10-07T12:00:00Z</dcterms:created>
  <dcterms:modified xsi:type="dcterms:W3CDTF">2025-10-07T12:00:00Z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A10-0183/2025</vt:lpwstr>
  </property>
  <property fmtid="{D5CDD505-2E9C-101B-9397-08002B2CF9AE}" pid="4" name="&lt;Type&gt;">
    <vt:lpwstr>RR</vt:lpwstr>
  </property>
</Properties>
</file>