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038B" w14:paraId="694AF6C2" w14:textId="77777777" w:rsidTr="0010095E">
        <w:trPr>
          <w:trHeight w:hRule="exact" w:val="1418"/>
        </w:trPr>
        <w:tc>
          <w:tcPr>
            <w:tcW w:w="6804" w:type="dxa"/>
            <w:shd w:val="clear" w:color="auto" w:fill="auto"/>
            <w:vAlign w:val="center"/>
          </w:tcPr>
          <w:p w14:paraId="23E8382D" w14:textId="77777777" w:rsidR="00751A4A" w:rsidRPr="00E1038B" w:rsidRDefault="00FA2838" w:rsidP="0010095E">
            <w:pPr>
              <w:pStyle w:val="EPName"/>
            </w:pPr>
            <w:r w:rsidRPr="00E1038B">
              <w:t>Euroopan parlamentti</w:t>
            </w:r>
          </w:p>
          <w:p w14:paraId="1EBFC9AD" w14:textId="77777777" w:rsidR="00751A4A" w:rsidRPr="00E1038B" w:rsidRDefault="005F1B17" w:rsidP="005F1B17">
            <w:pPr>
              <w:pStyle w:val="EPTerm"/>
              <w:rPr>
                <w:rStyle w:val="HideTWBExt"/>
                <w:noProof w:val="0"/>
                <w:vanish w:val="0"/>
                <w:color w:val="auto"/>
              </w:rPr>
            </w:pPr>
            <w:r w:rsidRPr="00E1038B">
              <w:t>2024</w:t>
            </w:r>
            <w:r w:rsidR="00817416" w:rsidRPr="00E1038B">
              <w:t>-202</w:t>
            </w:r>
            <w:r w:rsidRPr="00E1038B">
              <w:t>9</w:t>
            </w:r>
          </w:p>
        </w:tc>
        <w:tc>
          <w:tcPr>
            <w:tcW w:w="2268" w:type="dxa"/>
            <w:shd w:val="clear" w:color="auto" w:fill="auto"/>
          </w:tcPr>
          <w:p w14:paraId="3EA8B595" w14:textId="77777777" w:rsidR="00751A4A" w:rsidRPr="00E1038B" w:rsidRDefault="00187494" w:rsidP="0010095E">
            <w:pPr>
              <w:pStyle w:val="EPLogo"/>
            </w:pPr>
            <w:r w:rsidRPr="00E1038B">
              <w:rPr>
                <w:noProof/>
                <w:lang w:val="en-GB"/>
              </w:rPr>
              <w:drawing>
                <wp:inline distT="0" distB="0" distL="0" distR="0" wp14:anchorId="01FEC8DF" wp14:editId="266CB2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E96450" w14:textId="77777777" w:rsidR="00D058B8" w:rsidRPr="00E1038B" w:rsidRDefault="00D058B8" w:rsidP="004C5D52">
      <w:pPr>
        <w:pStyle w:val="LineTop"/>
      </w:pPr>
    </w:p>
    <w:p w14:paraId="43BA4A39" w14:textId="77777777" w:rsidR="00680577" w:rsidRPr="00E1038B" w:rsidRDefault="00FA2838" w:rsidP="00680577">
      <w:pPr>
        <w:pStyle w:val="EPBodyTA1"/>
      </w:pPr>
      <w:r w:rsidRPr="00E1038B">
        <w:t>HYVÄKSYTYT TEKSTIT</w:t>
      </w:r>
    </w:p>
    <w:p w14:paraId="5CBE3B9B" w14:textId="77777777" w:rsidR="00D058B8" w:rsidRPr="00E1038B" w:rsidRDefault="00D058B8" w:rsidP="00D058B8">
      <w:pPr>
        <w:pStyle w:val="LineBottom"/>
      </w:pPr>
    </w:p>
    <w:p w14:paraId="09018D6B" w14:textId="2198ED79" w:rsidR="00FA2838" w:rsidRPr="00E1038B" w:rsidRDefault="00FA2838" w:rsidP="00FA2838">
      <w:pPr>
        <w:pStyle w:val="ATHeading1"/>
      </w:pPr>
      <w:bookmarkStart w:id="0" w:name="TANumber"/>
      <w:r w:rsidRPr="00E1038B">
        <w:t>P10_</w:t>
      </w:r>
      <w:proofErr w:type="gramStart"/>
      <w:r w:rsidRPr="00E1038B">
        <w:t>TA(</w:t>
      </w:r>
      <w:proofErr w:type="gramEnd"/>
      <w:r w:rsidRPr="00E1038B">
        <w:t>2025)0</w:t>
      </w:r>
      <w:r w:rsidR="00E1038B" w:rsidRPr="00E1038B">
        <w:t>206</w:t>
      </w:r>
      <w:bookmarkEnd w:id="0"/>
    </w:p>
    <w:p w14:paraId="1B9AE8C3" w14:textId="77777777" w:rsidR="00FA2838" w:rsidRPr="00E1038B" w:rsidRDefault="00FA2838" w:rsidP="00FA2838">
      <w:pPr>
        <w:pStyle w:val="ATHeading2"/>
      </w:pPr>
      <w:bookmarkStart w:id="1" w:name="title"/>
      <w:r w:rsidRPr="00E1038B">
        <w:t>Ilaria Salisin koskemattomuuden pidättämistä koskeva pyyntö</w:t>
      </w:r>
      <w:bookmarkEnd w:id="1"/>
    </w:p>
    <w:p w14:paraId="20E03EBC" w14:textId="77777777" w:rsidR="00FA2838" w:rsidRPr="00E1038B" w:rsidRDefault="00FA2838" w:rsidP="00FA2838">
      <w:pPr>
        <w:rPr>
          <w:i/>
          <w:vanish/>
        </w:rPr>
      </w:pPr>
      <w:r w:rsidRPr="00E1038B">
        <w:rPr>
          <w:i/>
        </w:rPr>
        <w:fldChar w:fldCharType="begin"/>
      </w:r>
      <w:r w:rsidRPr="00E1038B">
        <w:rPr>
          <w:i/>
        </w:rPr>
        <w:instrText xml:space="preserve"> TC"(</w:instrText>
      </w:r>
      <w:bookmarkStart w:id="2" w:name="DocNumber"/>
      <w:r w:rsidRPr="00E1038B">
        <w:rPr>
          <w:i/>
        </w:rPr>
        <w:instrText>A10-0183/2025</w:instrText>
      </w:r>
      <w:bookmarkEnd w:id="2"/>
      <w:r w:rsidRPr="00E1038B">
        <w:rPr>
          <w:i/>
        </w:rPr>
        <w:instrText xml:space="preserve"> - Esittelijä: Ilhan Kyuchyuk)"\l3 \n&gt; \* MERGEFORMAT </w:instrText>
      </w:r>
      <w:r w:rsidRPr="00E1038B">
        <w:rPr>
          <w:i/>
        </w:rPr>
        <w:fldChar w:fldCharType="end"/>
      </w:r>
    </w:p>
    <w:p w14:paraId="55D3671F" w14:textId="77777777" w:rsidR="00FA2838" w:rsidRPr="00E1038B" w:rsidRDefault="00FA2838" w:rsidP="00FA2838">
      <w:pPr>
        <w:rPr>
          <w:vanish/>
        </w:rPr>
      </w:pPr>
      <w:bookmarkStart w:id="3" w:name="Commission"/>
      <w:r w:rsidRPr="00E1038B">
        <w:rPr>
          <w:vanish/>
        </w:rPr>
        <w:t>Oikeudellisten asioiden valiokunta</w:t>
      </w:r>
      <w:bookmarkEnd w:id="3"/>
    </w:p>
    <w:p w14:paraId="2A27EC46" w14:textId="77777777" w:rsidR="00FA2838" w:rsidRPr="00E1038B" w:rsidRDefault="00FA2838" w:rsidP="00FA2838">
      <w:pPr>
        <w:rPr>
          <w:vanish/>
        </w:rPr>
      </w:pPr>
      <w:bookmarkStart w:id="4" w:name="PE"/>
      <w:r w:rsidRPr="00E1038B">
        <w:rPr>
          <w:vanish/>
        </w:rPr>
        <w:t>PE774.380</w:t>
      </w:r>
      <w:bookmarkEnd w:id="4"/>
    </w:p>
    <w:p w14:paraId="58A0155E" w14:textId="1CF2D18F" w:rsidR="00FA2838" w:rsidRPr="00E1038B" w:rsidRDefault="00FA2838" w:rsidP="00FA2838">
      <w:pPr>
        <w:pStyle w:val="ATHeading3"/>
      </w:pPr>
      <w:bookmarkStart w:id="5" w:name="Sujet"/>
      <w:r w:rsidRPr="00E1038B">
        <w:t xml:space="preserve">Euroopan parlamentin päätös </w:t>
      </w:r>
      <w:r w:rsidR="00441CAD" w:rsidRPr="00E1038B">
        <w:t>7</w:t>
      </w:r>
      <w:r w:rsidRPr="00E1038B">
        <w:t>. lokakuuta 2025 Ilaria Salisin koskemattomuuden pidättämistä koskevasta pyynnöstä</w:t>
      </w:r>
      <w:bookmarkEnd w:id="5"/>
      <w:r w:rsidRPr="00E1038B">
        <w:t xml:space="preserve"> </w:t>
      </w:r>
      <w:bookmarkStart w:id="6" w:name="References"/>
      <w:r w:rsidRPr="00E1038B">
        <w:t>(2024/2086(IMM))</w:t>
      </w:r>
      <w:bookmarkEnd w:id="6"/>
    </w:p>
    <w:p w14:paraId="0DB79B21" w14:textId="77777777" w:rsidR="0005125F" w:rsidRPr="00E1038B" w:rsidRDefault="0005125F" w:rsidP="0005125F">
      <w:pPr>
        <w:pStyle w:val="EPComma"/>
      </w:pPr>
      <w:bookmarkStart w:id="7" w:name="TextBodyBegin"/>
      <w:bookmarkEnd w:id="7"/>
      <w:r w:rsidRPr="00E1038B">
        <w:rPr>
          <w:i/>
          <w:iCs/>
        </w:rPr>
        <w:t>Euroopan parlamentti</w:t>
      </w:r>
      <w:r w:rsidRPr="00E1038B">
        <w:t>, joka</w:t>
      </w:r>
    </w:p>
    <w:p w14:paraId="57C6F1FE" w14:textId="47BA37A0" w:rsidR="0005125F" w:rsidRPr="00E1038B" w:rsidRDefault="0005125F" w:rsidP="00DD6B37">
      <w:pPr>
        <w:pStyle w:val="NormalHanging12a"/>
        <w:widowControl/>
      </w:pPr>
      <w:r w:rsidRPr="00E1038B">
        <w:t>–</w:t>
      </w:r>
      <w:r w:rsidRPr="00E1038B">
        <w:tab/>
        <w:t xml:space="preserve">ottaa huomioon Ilaria Salisin koskemattomuuden pidättämistä koskevan pyynnön, jonka toimitti 10. lokakuuta 2024 Budapestin </w:t>
      </w:r>
      <w:r w:rsidR="00441CAD" w:rsidRPr="00E1038B">
        <w:t xml:space="preserve">pääkaupunkiseudun </w:t>
      </w:r>
      <w:r w:rsidRPr="00E1038B">
        <w:t>tuomioistuin kyseisessä tuomioistuimessa vireillä olevassa rikosasiassa ja josta ilmoitettiin täysistunnossa 22. lokakuuta 2024,</w:t>
      </w:r>
    </w:p>
    <w:p w14:paraId="063E6F2D" w14:textId="6FC22DA3" w:rsidR="0005125F" w:rsidRPr="00E1038B" w:rsidRDefault="0005125F" w:rsidP="00DD6B37">
      <w:pPr>
        <w:pStyle w:val="NormalHanging12a"/>
        <w:widowControl/>
      </w:pPr>
      <w:r w:rsidRPr="00E1038B">
        <w:t>–</w:t>
      </w:r>
      <w:r w:rsidRPr="00E1038B">
        <w:tab/>
        <w:t>on kuullut Ilaria Salisia 13. helmikuuta 2025</w:t>
      </w:r>
      <w:r w:rsidR="00C955A3" w:rsidRPr="00E1038B">
        <w:t xml:space="preserve"> ja ottaa huomioon hänen toimittamansa asiakirjat</w:t>
      </w:r>
      <w:r w:rsidRPr="00E1038B">
        <w:t xml:space="preserve"> työjärjestyksen 9 artiklan 6 kohdan mukaisesti,</w:t>
      </w:r>
    </w:p>
    <w:p w14:paraId="243BB2EB" w14:textId="213F676A" w:rsidR="0005125F" w:rsidRPr="00E1038B" w:rsidRDefault="0005125F" w:rsidP="00DD6B37">
      <w:pPr>
        <w:pStyle w:val="NormalHanging12a"/>
        <w:widowControl/>
      </w:pPr>
      <w:r w:rsidRPr="00E1038B">
        <w:t>–</w:t>
      </w:r>
      <w:r w:rsidRPr="00E1038B">
        <w:tab/>
        <w:t xml:space="preserve">ottaa huomioon Budapestin </w:t>
      </w:r>
      <w:r w:rsidR="00441CAD" w:rsidRPr="00E1038B">
        <w:t xml:space="preserve">pääkaupunkiseudun </w:t>
      </w:r>
      <w:r w:rsidRPr="00E1038B">
        <w:t>tuomioistuimen toimittamat lisätiedot,</w:t>
      </w:r>
    </w:p>
    <w:p w14:paraId="214BA33C" w14:textId="77777777" w:rsidR="0005125F" w:rsidRPr="00E1038B" w:rsidRDefault="0005125F" w:rsidP="00DD6B37">
      <w:pPr>
        <w:pStyle w:val="NormalHanging12a"/>
        <w:widowControl/>
      </w:pPr>
      <w:r w:rsidRPr="00E1038B">
        <w:t>–</w:t>
      </w:r>
      <w:r w:rsidRPr="00E1038B">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6DC201AC" w14:textId="77777777" w:rsidR="0005125F" w:rsidRPr="00E1038B" w:rsidRDefault="0005125F" w:rsidP="00DD6B37">
      <w:pPr>
        <w:pStyle w:val="NormalHanging12a"/>
        <w:widowControl/>
      </w:pPr>
      <w:r w:rsidRPr="00E1038B">
        <w:t>–</w:t>
      </w:r>
      <w:r w:rsidRPr="00E1038B">
        <w:tab/>
        <w:t>ottaa huomioon Euroopan unionin tuomioistuimen 21. lokakuuta 2008, 19. maaliskuuta 2010, 6. syyskuuta 2011, 17. tammikuuta 2013, 19. joulukuuta 2019 ja 5. heinäkuuta 2023 antamat tuomiot</w:t>
      </w:r>
      <w:r w:rsidRPr="00E1038B">
        <w:rPr>
          <w:rStyle w:val="FootnoteReference"/>
        </w:rPr>
        <w:footnoteReference w:id="1"/>
      </w:r>
      <w:r w:rsidRPr="00E1038B">
        <w:t>,</w:t>
      </w:r>
    </w:p>
    <w:p w14:paraId="46C70B43" w14:textId="77777777" w:rsidR="0005125F" w:rsidRPr="00E1038B" w:rsidRDefault="0005125F" w:rsidP="00DD6B37">
      <w:pPr>
        <w:pStyle w:val="NormalHanging12a"/>
        <w:widowControl/>
      </w:pPr>
      <w:r w:rsidRPr="00E1038B">
        <w:t>–</w:t>
      </w:r>
      <w:r w:rsidRPr="00E1038B">
        <w:tab/>
        <w:t>ottaa huomioon työjärjestyksen 5 artiklan 2 kohdan, 6 artiklan 1 kohdan ja 9 artiklan,</w:t>
      </w:r>
    </w:p>
    <w:p w14:paraId="5D07D2D8" w14:textId="77777777" w:rsidR="0005125F" w:rsidRPr="00E1038B" w:rsidRDefault="0005125F" w:rsidP="00DD6B37">
      <w:pPr>
        <w:pStyle w:val="NormalHanging12a"/>
        <w:widowControl/>
      </w:pPr>
      <w:r w:rsidRPr="00E1038B">
        <w:t>–</w:t>
      </w:r>
      <w:r w:rsidRPr="00E1038B">
        <w:tab/>
        <w:t>ottaa huomioon oikeudellisten asioiden valiokunnan mietinnön (A10-0183/2025),</w:t>
      </w:r>
    </w:p>
    <w:p w14:paraId="10308994" w14:textId="2648369F" w:rsidR="0005125F" w:rsidRPr="00E1038B" w:rsidRDefault="0005125F" w:rsidP="00DD6B37">
      <w:pPr>
        <w:pStyle w:val="NormalHanging12a"/>
        <w:widowControl/>
      </w:pPr>
      <w:r w:rsidRPr="00E1038B">
        <w:t>A.</w:t>
      </w:r>
      <w:r w:rsidRPr="00E1038B">
        <w:tab/>
        <w:t xml:space="preserve">ottaa huomioon, että </w:t>
      </w:r>
      <w:r w:rsidR="00083542">
        <w:t xml:space="preserve">10. lokakuuta 2024 </w:t>
      </w:r>
      <w:r w:rsidRPr="00E1038B">
        <w:t>Budapestin</w:t>
      </w:r>
      <w:r w:rsidR="00441CAD" w:rsidRPr="00E1038B">
        <w:t xml:space="preserve"> pääkaupunkiseudun</w:t>
      </w:r>
      <w:r w:rsidRPr="00E1038B">
        <w:t xml:space="preserve"> tuomioistuin </w:t>
      </w:r>
      <w:r w:rsidR="00441CAD" w:rsidRPr="00E1038B">
        <w:t>jätti</w:t>
      </w:r>
      <w:r w:rsidRPr="00E1038B">
        <w:t xml:space="preserve"> Italiassa valituksi tulleen Euroopan parlamentin jäsenen Ilaria Salisin </w:t>
      </w:r>
      <w:r w:rsidRPr="00E1038B">
        <w:lastRenderedPageBreak/>
        <w:t xml:space="preserve">koskemattomuuden pidättämistä </w:t>
      </w:r>
      <w:r w:rsidR="00441CAD" w:rsidRPr="00E1038B">
        <w:t xml:space="preserve">koskevan pyynnön </w:t>
      </w:r>
      <w:r w:rsidRPr="00E1038B">
        <w:t>kyseisessä tuomioistuimessa vireillä olevien rikosoikeudellisten menettelyjen yhteydessä;</w:t>
      </w:r>
    </w:p>
    <w:p w14:paraId="311AB5D4" w14:textId="69FEDAB6" w:rsidR="0005125F" w:rsidRPr="00E1038B" w:rsidRDefault="0005125F" w:rsidP="00DD6B37">
      <w:pPr>
        <w:pStyle w:val="NormalHanging12a"/>
        <w:widowControl/>
      </w:pPr>
      <w:r w:rsidRPr="00E1038B">
        <w:t>B.</w:t>
      </w:r>
      <w:r w:rsidRPr="00E1038B">
        <w:tab/>
        <w:t xml:space="preserve">ottaa huomioon, että pyynnön mukaan erään Saksassa perustetun järjestön jäsenet päättivät vuonna 2022 toteuttaa väkivaltaisia koordinoituja hyökkäyksiä Budapestissa äärioikeiston kannattajia tai sellaisina pitämiään tai olettamiaan tunnistamattomia henkilöitä vastaan ja että järjestö oli suunnitellut toteuttavansa iskut 11. helmikuuta 2023 sekä sitä edeltävinä ja sitä seuraavina päivinä, jolloin vietettiin niin sanottua ”Kunnian päivää” ja Budapestissa järjestettiin vuotuinen tapahtuma, jossa muistetaan natsijoukkojen yritystä vapautua piirityksestä vuonna 1945 ja joka toimii Euroopan uusnatsien tapaamispaikkana; ottaa huomioon, että pyynnön mukaan Ilaria Salis matkusti Unkariin osallistuakseen näihin koordinoituihin hyökkäyksiin ja osallistui niihin 10. ja 11. helmikuuta 2023; ottaa huomioon, että niin sanottua ”Kunnian päivää” viettäneiden henkilöiden raportoitiin aiheuttaneen välikohtauksia ja syyllistyneen väkivaltaisuuksiin; ottaa huomioon, että Budapestin </w:t>
      </w:r>
      <w:r w:rsidR="00441CAD" w:rsidRPr="00E1038B">
        <w:t xml:space="preserve">pääkaupunkiseudun </w:t>
      </w:r>
      <w:r w:rsidRPr="00E1038B">
        <w:t xml:space="preserve">tuomioistuin totesi, että se ei kuitenkaan ollut tietoinen vuoden 2023 </w:t>
      </w:r>
      <w:r w:rsidR="00441CAD" w:rsidRPr="00E1038B">
        <w:t xml:space="preserve">niin sanotun </w:t>
      </w:r>
      <w:r w:rsidRPr="00E1038B">
        <w:t>Kunnian päivän viettoon osallistuneiden henkilöiden tekemistä väkivallanteoista, jotka olisivat johtaneet menettelyihin heitä vastaan, lukuun ottamatta Ilaria Salisin ja kahden muun syytetyn tapausta;</w:t>
      </w:r>
    </w:p>
    <w:p w14:paraId="68BE4F4B" w14:textId="77777777" w:rsidR="0005125F" w:rsidRPr="00E1038B" w:rsidRDefault="0005125F" w:rsidP="00DD6B37">
      <w:pPr>
        <w:pStyle w:val="NormalHanging12a"/>
        <w:widowControl/>
      </w:pPr>
      <w:r w:rsidRPr="00E1038B">
        <w:t>C.</w:t>
      </w:r>
      <w:r w:rsidRPr="00E1038B">
        <w:tab/>
        <w:t>ottaa huomioon, että pyynnön mukaan Ilaria Salisia, joka on yksi kolmesta syytetystä asiassa, vastaan nostettiin syyte kolmesta pahoinpitely-yrityksestä, joista aiheutui uhreille hengenvaarallista ruumiillista haittaa ja jotka tehtiin osana rikollisjärjestön toimintaa, Unkarin rikoslaista vuonna 2012 annetun lain C 164 pykälän 8 momentin ensimmäisen osan nojalla ja 164 pykälän 1 momentin vastaisesti kahdessa tapauksessa rikoskumppanina ja kolmannessa tapauksessa avunantajana; ottaa huomioon, että teot, joihin Ilaria Salisin väitetään syyllistyneen, ovat näin ollen Unkarin rikoslain mukaan rikoksia;</w:t>
      </w:r>
    </w:p>
    <w:p w14:paraId="67F4E2CF" w14:textId="70C58985" w:rsidR="0005125F" w:rsidRPr="00E1038B" w:rsidRDefault="0005125F" w:rsidP="00DD6B37">
      <w:pPr>
        <w:pStyle w:val="NormalHanging12a"/>
        <w:widowControl/>
      </w:pPr>
      <w:r w:rsidRPr="00E1038B">
        <w:t>D.</w:t>
      </w:r>
      <w:r w:rsidRPr="00E1038B">
        <w:tab/>
        <w:t xml:space="preserve">ottaa huomioon, että Ilaria Salis valittiin </w:t>
      </w:r>
      <w:r w:rsidR="00AE4305" w:rsidRPr="00E1038B">
        <w:t xml:space="preserve">Euroopan </w:t>
      </w:r>
      <w:r w:rsidRPr="00E1038B">
        <w:t xml:space="preserve">parlamenttiin </w:t>
      </w:r>
      <w:r w:rsidR="00AE4305" w:rsidRPr="00E1038B">
        <w:t>kesäkuussa</w:t>
      </w:r>
      <w:r w:rsidRPr="00E1038B">
        <w:t xml:space="preserve"> 2024 pidetyissä Euroopan parlamentin vaaleissa;</w:t>
      </w:r>
    </w:p>
    <w:p w14:paraId="38AE14FD" w14:textId="4DB529B3" w:rsidR="0005125F" w:rsidRPr="00E1038B" w:rsidRDefault="0005125F" w:rsidP="00DD6B37">
      <w:pPr>
        <w:pStyle w:val="NormalHanging12a"/>
        <w:widowControl/>
      </w:pPr>
      <w:r w:rsidRPr="00E1038B">
        <w:t>E.</w:t>
      </w:r>
      <w:r w:rsidRPr="00E1038B">
        <w:tab/>
        <w:t>ottaa huomioon, ett</w:t>
      </w:r>
      <w:r w:rsidR="0056698D">
        <w:t>ei</w:t>
      </w:r>
      <w:r w:rsidRPr="00E1038B">
        <w:t xml:space="preserve"> väitety</w:t>
      </w:r>
      <w:r w:rsidR="0056698D">
        <w:t>issä rikoksissa ole kyse</w:t>
      </w:r>
      <w:r w:rsidRPr="00E1038B">
        <w:t xml:space="preserve"> Euroopan unionin erioikeuksista ja vapauksista tehdyssä pöytäkirjassa N:o 7 olevassa 8 artiklassa tarkoitetui</w:t>
      </w:r>
      <w:r w:rsidR="0056698D">
        <w:t>sta</w:t>
      </w:r>
      <w:r w:rsidRPr="00E1038B">
        <w:t xml:space="preserve"> Ilaria Salisin tehtäviään hoitaessaan ilmaisemi</w:t>
      </w:r>
      <w:r w:rsidR="0056698D">
        <w:t>sta</w:t>
      </w:r>
      <w:r w:rsidRPr="00E1038B">
        <w:t xml:space="preserve"> mielipiteis</w:t>
      </w:r>
      <w:r w:rsidR="0056698D">
        <w:t>tä</w:t>
      </w:r>
      <w:r w:rsidRPr="00E1038B">
        <w:t xml:space="preserve"> tai äänestyksi</w:t>
      </w:r>
      <w:r w:rsidR="0056698D">
        <w:t xml:space="preserve">stä eikä kyseisten rikosten </w:t>
      </w:r>
      <w:proofErr w:type="gramStart"/>
      <w:r w:rsidR="0056698D" w:rsidRPr="00E1038B">
        <w:t>johdosta</w:t>
      </w:r>
      <w:proofErr w:type="gramEnd"/>
      <w:r w:rsidR="0056698D" w:rsidRPr="00E1038B">
        <w:t xml:space="preserve"> esitetty Ilaria Salisin koskemattomuuden pidättämistä koskeva pyyntö liity</w:t>
      </w:r>
      <w:r w:rsidR="0056698D">
        <w:t xml:space="preserve"> niih</w:t>
      </w:r>
      <w:r w:rsidRPr="00E1038B">
        <w:t>in;</w:t>
      </w:r>
    </w:p>
    <w:p w14:paraId="5CD9B0C3" w14:textId="77777777" w:rsidR="00DD6B37" w:rsidRPr="00E1038B" w:rsidRDefault="0005125F" w:rsidP="00DD6B37">
      <w:pPr>
        <w:pStyle w:val="NormalHanging12a"/>
        <w:widowControl/>
      </w:pPr>
      <w:r w:rsidRPr="00E1038B">
        <w:t>F.</w:t>
      </w:r>
      <w:r w:rsidRPr="00E1038B">
        <w:tab/>
        <w:t>toteaa, että Euroopan unionin erioikeuksista ja vapauksista tehdyssä pöytäkirjassa N:o 7 olevan 9 artiklan mukaan Euroopan parlamentin jäsenillä on oman valtionsa alueella kansanedustajille myönnetty koskemattomuus ja toisen jäsenvaltion alueella vapaudenriistoa koskeva koskemattomuus sekä lainkäytöllinen koskemattomuus;</w:t>
      </w:r>
    </w:p>
    <w:p w14:paraId="7457C0F1" w14:textId="34F37E17" w:rsidR="0005125F" w:rsidRPr="00E1038B" w:rsidRDefault="0005125F" w:rsidP="00DD6B37">
      <w:pPr>
        <w:pStyle w:val="NormalHanging12a"/>
        <w:widowControl/>
      </w:pPr>
      <w:r w:rsidRPr="00E1038B">
        <w:t>G.</w:t>
      </w:r>
      <w:r w:rsidRPr="00E1038B">
        <w:tab/>
        <w:t>ottaa huomioon, että parlamentin työjärjestyksen 5 artiklan 2 kohdan mukaan parlamentaarinen koskemattomuus ei ole jäsenen henkilökohtainen erioikeus vaan tae koko</w:t>
      </w:r>
      <w:r w:rsidR="002B6A32">
        <w:t xml:space="preserve"> Euroopan</w:t>
      </w:r>
      <w:r w:rsidRPr="00E1038B">
        <w:t xml:space="preserve"> parlamentin ja sen jäsenten riippumattomuudesta;</w:t>
      </w:r>
    </w:p>
    <w:p w14:paraId="6591C46D" w14:textId="77777777" w:rsidR="0005125F" w:rsidRPr="00E1038B" w:rsidRDefault="0005125F" w:rsidP="00DD6B37">
      <w:pPr>
        <w:pStyle w:val="NormalHanging12a"/>
        <w:widowControl/>
      </w:pPr>
      <w:r w:rsidRPr="00E1038B">
        <w:t>H.</w:t>
      </w:r>
      <w:r w:rsidRPr="00E1038B">
        <w:tab/>
        <w:t xml:space="preserve">ottaa huomioon, että Euroopan unionin tuomioistuimen oikeuskäytännön mukaan parlamentilla on ”laaja harkintavalta sen osalta, minkä suuntaisen päätöksen se aikoo </w:t>
      </w:r>
      <w:r w:rsidRPr="00E1038B">
        <w:lastRenderedPageBreak/>
        <w:t>tehdä koskemattomuuden pidättämistä (...) koskevan pyynnön johdosta, koska tällainen päätös on luonteeltaan poliittinen”;</w:t>
      </w:r>
      <w:r w:rsidRPr="00E1038B">
        <w:rPr>
          <w:rStyle w:val="FootnoteReference"/>
        </w:rPr>
        <w:footnoteReference w:id="2"/>
      </w:r>
    </w:p>
    <w:p w14:paraId="24297293" w14:textId="46A32240" w:rsidR="0005125F" w:rsidRPr="00E1038B" w:rsidRDefault="0005125F" w:rsidP="00DD6B37">
      <w:pPr>
        <w:pStyle w:val="NormalHanging12a"/>
        <w:widowControl/>
      </w:pPr>
      <w:r w:rsidRPr="00E1038B">
        <w:t>I.</w:t>
      </w:r>
      <w:r w:rsidRPr="00E1038B">
        <w:tab/>
        <w:t xml:space="preserve">ottaa huomioon, että tätä laajaa harkintavaltaa käyttäessään parlamentti totesi tässä nimenomaisessa tapauksessa, että Ilaria Salis oli joutunut ankarien vankeusolojen ja toimenpiteiden kohteeksi häntä vastaan käydyn rikosoikeudellisen menettelyn aikana; ottaa huomioon, että Budapestin </w:t>
      </w:r>
      <w:r w:rsidR="00AE4305" w:rsidRPr="00E1038B">
        <w:t xml:space="preserve">pääkaupunkiseudun </w:t>
      </w:r>
      <w:r w:rsidRPr="00E1038B">
        <w:t xml:space="preserve">tuomioistuin ei näytä olevan tietoinen muiden </w:t>
      </w:r>
      <w:r w:rsidR="00AE4305" w:rsidRPr="00E1038B">
        <w:t xml:space="preserve">niin sanotun </w:t>
      </w:r>
      <w:r w:rsidRPr="00E1038B">
        <w:t>Kunnian päivän viettoon, erityisesti vuonna 2023, osallistuneiden henkilöiden tekemistä väkivallanteoista, jotka olisivat johtaneet menettelyihin heitä vastaan; katsoo, että näin ollen vaikuttaa siltä, että saatujen tietojen suhteen on epäselvyyksiä, joita ei ole voitu hälventää; ottaa huomioon, että menettelyn ja sitä seuranneen pyynnön perimmäisenä tarkoituksena näyttää siis olevan Ilaria Salisin vaientaminen hänen pitkäaikaisten poliittisten mielipiteidensä ja aktivisminsa vuoksi, erityisesti koska hän vastustaa Budapestissa sallittua uusnatsien vuotuista muistojuhlaa, ja toteaa, että hänen poliittiset mielipiteensä ja aktivisminsa ovat myös perustana hänen sitoumukselleen ja poliittiselle toiminnalleen Euroopan parlamentin jäsenenä;</w:t>
      </w:r>
    </w:p>
    <w:p w14:paraId="651D373C" w14:textId="77777777" w:rsidR="0005125F" w:rsidRPr="00E1038B" w:rsidRDefault="0005125F" w:rsidP="00DD6B37">
      <w:pPr>
        <w:pStyle w:val="NormalHanging12a"/>
        <w:widowControl/>
      </w:pPr>
      <w:r w:rsidRPr="00E1038B">
        <w:t>J.</w:t>
      </w:r>
      <w:r w:rsidRPr="00E1038B">
        <w:tab/>
        <w:t xml:space="preserve">ottaa huomioon, että näin ollen voidaan olettaa kyseessä olevan </w:t>
      </w:r>
      <w:proofErr w:type="spellStart"/>
      <w:r w:rsidRPr="00E1038B">
        <w:rPr>
          <w:i/>
          <w:iCs/>
        </w:rPr>
        <w:t>fumus</w:t>
      </w:r>
      <w:proofErr w:type="spellEnd"/>
      <w:r w:rsidRPr="00E1038B">
        <w:rPr>
          <w:i/>
          <w:iCs/>
        </w:rPr>
        <w:t xml:space="preserve"> </w:t>
      </w:r>
      <w:proofErr w:type="spellStart"/>
      <w:r w:rsidRPr="00E1038B">
        <w:rPr>
          <w:i/>
          <w:iCs/>
        </w:rPr>
        <w:t>persecutionis</w:t>
      </w:r>
      <w:proofErr w:type="spellEnd"/>
      <w:r w:rsidRPr="00E1038B">
        <w:t xml:space="preserve"> -tapaus, toisin sanoen on olemassa ”konkreettista näyttöä”</w:t>
      </w:r>
      <w:r w:rsidRPr="00E1038B">
        <w:rPr>
          <w:rStyle w:val="FootnoteReference"/>
        </w:rPr>
        <w:footnoteReference w:id="3"/>
      </w:r>
      <w:r w:rsidRPr="00E1038B">
        <w:t>, joka viittaa siihen, että kyseisen oikeusmenettelyn tarkoituksena olisi vahingoittaa Ilaria Salisin poliittista toimintaa Euroopan parlamentin jäsenenä;</w:t>
      </w:r>
    </w:p>
    <w:p w14:paraId="2CDCDDBA" w14:textId="77777777" w:rsidR="0005125F" w:rsidRPr="00E1038B" w:rsidRDefault="0005125F" w:rsidP="00DD6B37">
      <w:pPr>
        <w:pStyle w:val="NormalHanging12a"/>
        <w:widowControl/>
      </w:pPr>
      <w:r w:rsidRPr="00E1038B">
        <w:t>K.</w:t>
      </w:r>
      <w:r w:rsidRPr="00E1038B">
        <w:tab/>
        <w:t>ottaa huomioon, että parlamenttia ei voida rinnastaa tuomioistuimeen eikä parlamentin jäsentä voida pitää koskemattomuuden pidättämistä koskevassa menettelyssä ”syytettynä”</w:t>
      </w:r>
      <w:r w:rsidRPr="00E1038B">
        <w:rPr>
          <w:rStyle w:val="FootnoteReference"/>
        </w:rPr>
        <w:footnoteReference w:id="4"/>
      </w:r>
      <w:r w:rsidRPr="00E1038B">
        <w:t>;</w:t>
      </w:r>
    </w:p>
    <w:p w14:paraId="3032F5BF" w14:textId="77777777" w:rsidR="0005125F" w:rsidRPr="00E1038B" w:rsidRDefault="0005125F" w:rsidP="00DD6B37">
      <w:pPr>
        <w:pStyle w:val="NormalHanging12a"/>
        <w:widowControl/>
      </w:pPr>
      <w:r w:rsidRPr="00E1038B">
        <w:t>1.</w:t>
      </w:r>
      <w:r w:rsidRPr="00E1038B">
        <w:tab/>
        <w:t>päättää säilyttää Ilaria Salisin koskemattomuuden;</w:t>
      </w:r>
    </w:p>
    <w:p w14:paraId="1A9349A1" w14:textId="3F90B2CD" w:rsidR="00E365E1" w:rsidRPr="00E1038B" w:rsidRDefault="0005125F" w:rsidP="00DD6B37">
      <w:pPr>
        <w:widowControl/>
        <w:spacing w:after="240"/>
        <w:ind w:left="567" w:hanging="567"/>
      </w:pPr>
      <w:r w:rsidRPr="00E1038B">
        <w:t>2.</w:t>
      </w:r>
      <w:r w:rsidRPr="00E1038B">
        <w:tab/>
        <w:t>kehottaa puhemiestä välittämään tämän päätöksen sekä asiasta vastaavan valiokunnan mietinnön viipymättä Unkarin toimivaltaiselle viranomaiselle ja Ilaria Salisille.</w:t>
      </w:r>
    </w:p>
    <w:sectPr w:rsidR="00E365E1" w:rsidRPr="00E1038B" w:rsidSect="00030B6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21758" w14:textId="77777777" w:rsidR="00FA2838" w:rsidRPr="00030B68" w:rsidRDefault="00FA2838">
      <w:r w:rsidRPr="00030B68">
        <w:separator/>
      </w:r>
    </w:p>
  </w:endnote>
  <w:endnote w:type="continuationSeparator" w:id="0">
    <w:p w14:paraId="1D03EEA4" w14:textId="77777777" w:rsidR="00FA2838" w:rsidRPr="00030B68" w:rsidRDefault="00FA2838">
      <w:r w:rsidRPr="00030B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2EA52" w14:textId="77777777" w:rsidR="00FA2838" w:rsidRPr="00030B68" w:rsidRDefault="00FA2838">
      <w:r w:rsidRPr="00030B68">
        <w:separator/>
      </w:r>
    </w:p>
  </w:footnote>
  <w:footnote w:type="continuationSeparator" w:id="0">
    <w:p w14:paraId="572E2B4A" w14:textId="77777777" w:rsidR="00FA2838" w:rsidRPr="00030B68" w:rsidRDefault="00FA2838">
      <w:r w:rsidRPr="00030B68">
        <w:continuationSeparator/>
      </w:r>
    </w:p>
  </w:footnote>
  <w:footnote w:id="1">
    <w:p w14:paraId="63840ECB" w14:textId="0EE4195A" w:rsidR="0005125F" w:rsidRPr="00030B68" w:rsidRDefault="0005125F" w:rsidP="00030B68">
      <w:pPr>
        <w:pStyle w:val="FootnoteText"/>
        <w:ind w:left="567" w:hanging="567"/>
        <w:rPr>
          <w:sz w:val="24"/>
          <w:lang w:val="fi-FI"/>
        </w:rPr>
      </w:pPr>
      <w:r w:rsidRPr="00030B68">
        <w:rPr>
          <w:rStyle w:val="FootnoteReference"/>
          <w:sz w:val="24"/>
          <w:lang w:val="fi-FI"/>
        </w:rPr>
        <w:footnoteRef/>
      </w:r>
      <w:r w:rsidR="00030B68" w:rsidRPr="00030B68">
        <w:rPr>
          <w:sz w:val="24"/>
          <w:lang w:val="fi-FI"/>
        </w:rPr>
        <w:t xml:space="preserve"> </w:t>
      </w:r>
      <w:r w:rsidR="00030B68" w:rsidRPr="00030B68">
        <w:rPr>
          <w:sz w:val="24"/>
          <w:lang w:val="fi-FI"/>
        </w:rPr>
        <w:tab/>
      </w:r>
      <w:r w:rsidRPr="00030B68">
        <w:rPr>
          <w:sz w:val="24"/>
          <w:lang w:val="fi-FI"/>
        </w:rPr>
        <w:t xml:space="preserve">Yhteisöjen tuomioistuimen tuomio 21.10.2008, </w:t>
      </w:r>
      <w:proofErr w:type="spellStart"/>
      <w:r w:rsidRPr="00030B68">
        <w:rPr>
          <w:sz w:val="24"/>
          <w:lang w:val="fi-FI"/>
        </w:rPr>
        <w:t>Marra</w:t>
      </w:r>
      <w:proofErr w:type="spellEnd"/>
      <w:r w:rsidRPr="00030B68">
        <w:rPr>
          <w:sz w:val="24"/>
          <w:lang w:val="fi-FI"/>
        </w:rPr>
        <w:t xml:space="preserve"> v. De </w:t>
      </w:r>
      <w:proofErr w:type="spellStart"/>
      <w:r w:rsidRPr="00030B68">
        <w:rPr>
          <w:sz w:val="24"/>
          <w:lang w:val="fi-FI"/>
        </w:rPr>
        <w:t>Gregorio</w:t>
      </w:r>
      <w:proofErr w:type="spellEnd"/>
      <w:r w:rsidRPr="00030B68">
        <w:rPr>
          <w:sz w:val="24"/>
          <w:lang w:val="fi-FI"/>
        </w:rPr>
        <w:t xml:space="preserve"> ja </w:t>
      </w:r>
      <w:proofErr w:type="spellStart"/>
      <w:r w:rsidRPr="00030B68">
        <w:rPr>
          <w:sz w:val="24"/>
          <w:lang w:val="fi-FI"/>
        </w:rPr>
        <w:t>Clemente</w:t>
      </w:r>
      <w:proofErr w:type="spellEnd"/>
      <w:r w:rsidRPr="00030B68">
        <w:rPr>
          <w:sz w:val="24"/>
          <w:lang w:val="fi-FI"/>
        </w:rPr>
        <w:t xml:space="preserve">, C-200/07 ja C-201/07, ECLI:EU:C:2008:579; unionin yleisen tuomioistuimen tuomio 19.3.2010, </w:t>
      </w:r>
      <w:proofErr w:type="spellStart"/>
      <w:r w:rsidRPr="00030B68">
        <w:rPr>
          <w:sz w:val="24"/>
          <w:lang w:val="fi-FI"/>
        </w:rPr>
        <w:t>Gollnisch</w:t>
      </w:r>
      <w:proofErr w:type="spellEnd"/>
      <w:r w:rsidRPr="00030B68">
        <w:rPr>
          <w:sz w:val="24"/>
          <w:lang w:val="fi-FI"/>
        </w:rPr>
        <w:t xml:space="preserve"> v. parlamentti, T-42/06, ECLI:EU:T:2010:102; unionin tuomioistuimen tuomio 6.9.2011, Patriciello, C-163/10, </w:t>
      </w:r>
      <w:proofErr w:type="spellStart"/>
      <w:r w:rsidRPr="00030B68">
        <w:rPr>
          <w:sz w:val="24"/>
          <w:lang w:val="fi-FI"/>
        </w:rPr>
        <w:t>ECLI</w:t>
      </w:r>
      <w:proofErr w:type="spellEnd"/>
      <w:r w:rsidRPr="00030B68">
        <w:rPr>
          <w:sz w:val="24"/>
          <w:lang w:val="fi-FI"/>
        </w:rPr>
        <w:t xml:space="preserve">: EU:C:2011:543; unionin yleisen tuomioistuimen tuomio 17.1.2013, </w:t>
      </w:r>
      <w:proofErr w:type="spellStart"/>
      <w:r w:rsidRPr="00030B68">
        <w:rPr>
          <w:sz w:val="24"/>
          <w:lang w:val="fi-FI"/>
        </w:rPr>
        <w:t>Gollnisch</w:t>
      </w:r>
      <w:proofErr w:type="spellEnd"/>
      <w:r w:rsidRPr="00030B68">
        <w:rPr>
          <w:sz w:val="24"/>
          <w:lang w:val="fi-FI"/>
        </w:rPr>
        <w:t xml:space="preserve"> v. parlamentti, T-346/11 ja T-347/11, ECLI:EU:T:2013:23; unionin tuomioistuimen tuomio 19.12.2019, </w:t>
      </w:r>
      <w:proofErr w:type="spellStart"/>
      <w:r w:rsidRPr="00030B68">
        <w:rPr>
          <w:sz w:val="24"/>
          <w:lang w:val="fi-FI"/>
        </w:rPr>
        <w:t>Junqueras</w:t>
      </w:r>
      <w:proofErr w:type="spellEnd"/>
      <w:r w:rsidRPr="00030B68">
        <w:rPr>
          <w:sz w:val="24"/>
          <w:lang w:val="fi-FI"/>
        </w:rPr>
        <w:t xml:space="preserve"> Vies, C-502/19, ECLI:EU:C:2019:1115; unionin yleisen tuomioistuimen tuomio 5.7.2023, </w:t>
      </w:r>
      <w:proofErr w:type="spellStart"/>
      <w:r w:rsidRPr="00030B68">
        <w:rPr>
          <w:sz w:val="24"/>
          <w:lang w:val="fi-FI"/>
        </w:rPr>
        <w:t>Puigdemont</w:t>
      </w:r>
      <w:proofErr w:type="spellEnd"/>
      <w:r w:rsidRPr="00030B68">
        <w:rPr>
          <w:sz w:val="24"/>
          <w:lang w:val="fi-FI"/>
        </w:rPr>
        <w:t xml:space="preserve"> i </w:t>
      </w:r>
      <w:proofErr w:type="spellStart"/>
      <w:r w:rsidRPr="00030B68">
        <w:rPr>
          <w:sz w:val="24"/>
          <w:lang w:val="fi-FI"/>
        </w:rPr>
        <w:t>Casamajó</w:t>
      </w:r>
      <w:proofErr w:type="spellEnd"/>
      <w:r w:rsidRPr="00030B68">
        <w:rPr>
          <w:sz w:val="24"/>
          <w:lang w:val="fi-FI"/>
        </w:rPr>
        <w:t xml:space="preserve"> ym. v. parlamentti, T-272/21, ECLI:EU:T:2023:373.</w:t>
      </w:r>
    </w:p>
  </w:footnote>
  <w:footnote w:id="2">
    <w:p w14:paraId="5C385D62" w14:textId="1748E361" w:rsidR="0005125F" w:rsidRPr="00030B68" w:rsidRDefault="0005125F" w:rsidP="00030B68">
      <w:pPr>
        <w:pStyle w:val="FootnoteText"/>
        <w:ind w:left="567" w:hanging="567"/>
        <w:rPr>
          <w:sz w:val="24"/>
          <w:lang w:val="fi-FI"/>
        </w:rPr>
      </w:pPr>
      <w:r w:rsidRPr="00030B68">
        <w:rPr>
          <w:rStyle w:val="FootnoteReference"/>
          <w:sz w:val="24"/>
          <w:lang w:val="fi-FI"/>
        </w:rPr>
        <w:footnoteRef/>
      </w:r>
      <w:r w:rsidR="00030B68" w:rsidRPr="00030B68">
        <w:rPr>
          <w:sz w:val="24"/>
          <w:lang w:val="fi-FI"/>
        </w:rPr>
        <w:t xml:space="preserve"> </w:t>
      </w:r>
      <w:r w:rsidR="00030B68" w:rsidRPr="00030B68">
        <w:rPr>
          <w:sz w:val="24"/>
          <w:lang w:val="fi-FI"/>
        </w:rPr>
        <w:tab/>
      </w:r>
      <w:r w:rsidRPr="00030B68">
        <w:rPr>
          <w:sz w:val="24"/>
          <w:lang w:val="fi-FI"/>
        </w:rPr>
        <w:t xml:space="preserve">Unionin yleisen tuomioistuimen tuomio 17.1.2013, </w:t>
      </w:r>
      <w:proofErr w:type="spellStart"/>
      <w:r w:rsidRPr="00030B68">
        <w:rPr>
          <w:sz w:val="24"/>
          <w:lang w:val="fi-FI"/>
        </w:rPr>
        <w:t>Gollnisch</w:t>
      </w:r>
      <w:proofErr w:type="spellEnd"/>
      <w:r w:rsidRPr="00030B68">
        <w:rPr>
          <w:sz w:val="24"/>
          <w:lang w:val="fi-FI"/>
        </w:rPr>
        <w:t xml:space="preserve"> v. parlamentti, T-346/11 ja T-347/11, ECLI:</w:t>
      </w:r>
      <w:proofErr w:type="gramStart"/>
      <w:r w:rsidRPr="00030B68">
        <w:rPr>
          <w:sz w:val="24"/>
          <w:lang w:val="fi-FI"/>
        </w:rPr>
        <w:t>EU:T</w:t>
      </w:r>
      <w:proofErr w:type="gramEnd"/>
      <w:r w:rsidRPr="00030B68">
        <w:rPr>
          <w:sz w:val="24"/>
          <w:lang w:val="fi-FI"/>
        </w:rPr>
        <w:t>:2013:23, 59 kohta oikeuskäytäntöviittauksineen.</w:t>
      </w:r>
    </w:p>
  </w:footnote>
  <w:footnote w:id="3">
    <w:p w14:paraId="7963580F" w14:textId="778659F4" w:rsidR="0005125F" w:rsidRPr="00030B68" w:rsidRDefault="0005125F" w:rsidP="00030B68">
      <w:pPr>
        <w:pStyle w:val="FootnoteText"/>
        <w:ind w:left="567" w:hanging="567"/>
        <w:rPr>
          <w:sz w:val="24"/>
          <w:lang w:val="fi-FI"/>
        </w:rPr>
      </w:pPr>
      <w:r w:rsidRPr="00030B68">
        <w:rPr>
          <w:rStyle w:val="FootnoteReference"/>
          <w:sz w:val="24"/>
          <w:lang w:val="fi-FI"/>
        </w:rPr>
        <w:footnoteRef/>
      </w:r>
      <w:r w:rsidR="00030B68" w:rsidRPr="00030B68">
        <w:rPr>
          <w:sz w:val="24"/>
          <w:lang w:val="fi-FI"/>
        </w:rPr>
        <w:t xml:space="preserve"> </w:t>
      </w:r>
      <w:r w:rsidR="00030B68" w:rsidRPr="00030B68">
        <w:rPr>
          <w:sz w:val="24"/>
          <w:lang w:val="fi-FI"/>
        </w:rPr>
        <w:tab/>
      </w:r>
      <w:r w:rsidRPr="00030B68">
        <w:rPr>
          <w:sz w:val="24"/>
          <w:lang w:val="fi-FI"/>
        </w:rPr>
        <w:t xml:space="preserve">Unionin tuomioistuimen tuomio 17.9.2020, </w:t>
      </w:r>
      <w:proofErr w:type="spellStart"/>
      <w:r w:rsidRPr="00030B68">
        <w:rPr>
          <w:sz w:val="24"/>
          <w:lang w:val="fi-FI"/>
        </w:rPr>
        <w:t>Troszczynski</w:t>
      </w:r>
      <w:proofErr w:type="spellEnd"/>
      <w:r w:rsidRPr="00030B68">
        <w:rPr>
          <w:sz w:val="24"/>
          <w:lang w:val="fi-FI"/>
        </w:rPr>
        <w:t xml:space="preserve"> v </w:t>
      </w:r>
      <w:proofErr w:type="spellStart"/>
      <w:r w:rsidRPr="00030B68">
        <w:rPr>
          <w:sz w:val="24"/>
          <w:lang w:val="fi-FI"/>
        </w:rPr>
        <w:t>Parliament</w:t>
      </w:r>
      <w:proofErr w:type="spellEnd"/>
      <w:r w:rsidRPr="00030B68">
        <w:rPr>
          <w:sz w:val="24"/>
          <w:lang w:val="fi-FI"/>
        </w:rPr>
        <w:t>, C-12/19 P, ECLI:EU:C:2020:725, 26 kohta.</w:t>
      </w:r>
    </w:p>
  </w:footnote>
  <w:footnote w:id="4">
    <w:p w14:paraId="73362105" w14:textId="476059F9" w:rsidR="0005125F" w:rsidRPr="00030B68" w:rsidRDefault="0005125F" w:rsidP="00030B68">
      <w:pPr>
        <w:pStyle w:val="FootnoteText"/>
        <w:ind w:left="567" w:hanging="567"/>
        <w:rPr>
          <w:sz w:val="24"/>
          <w:lang w:val="fi-FI"/>
        </w:rPr>
      </w:pPr>
      <w:r w:rsidRPr="00030B68">
        <w:rPr>
          <w:rStyle w:val="FootnoteReference"/>
          <w:sz w:val="24"/>
          <w:lang w:val="fi-FI"/>
        </w:rPr>
        <w:footnoteRef/>
      </w:r>
      <w:r w:rsidR="00030B68" w:rsidRPr="00030B68">
        <w:rPr>
          <w:sz w:val="24"/>
          <w:lang w:val="fi-FI"/>
        </w:rPr>
        <w:t xml:space="preserve"> </w:t>
      </w:r>
      <w:r w:rsidR="00030B68" w:rsidRPr="00030B68">
        <w:rPr>
          <w:sz w:val="24"/>
          <w:lang w:val="fi-FI"/>
        </w:rPr>
        <w:tab/>
      </w:r>
      <w:r w:rsidRPr="00030B68">
        <w:rPr>
          <w:sz w:val="24"/>
          <w:lang w:val="fi-FI"/>
        </w:rPr>
        <w:t xml:space="preserve">Unionin yleisen tuomioistuimen tuomio 30.4.2019, </w:t>
      </w:r>
      <w:proofErr w:type="spellStart"/>
      <w:r w:rsidRPr="00030B68">
        <w:rPr>
          <w:sz w:val="24"/>
          <w:lang w:val="fi-FI"/>
        </w:rPr>
        <w:t>Briois</w:t>
      </w:r>
      <w:proofErr w:type="spellEnd"/>
      <w:r w:rsidRPr="00030B68">
        <w:rPr>
          <w:sz w:val="24"/>
          <w:lang w:val="fi-FI"/>
        </w:rPr>
        <w:t xml:space="preserve"> v. parlamentti, T-214/18, ECLI:</w:t>
      </w:r>
      <w:proofErr w:type="gramStart"/>
      <w:r w:rsidRPr="00030B68">
        <w:rPr>
          <w:sz w:val="24"/>
          <w:lang w:val="fi-FI"/>
        </w:rPr>
        <w:t>EU:T</w:t>
      </w:r>
      <w:proofErr w:type="gramEnd"/>
      <w:r w:rsidRPr="00030B68">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0189910">
    <w:abstractNumId w:val="9"/>
  </w:num>
  <w:num w:numId="2" w16cid:durableId="2093117426">
    <w:abstractNumId w:val="9"/>
  </w:num>
  <w:num w:numId="3" w16cid:durableId="180897887">
    <w:abstractNumId w:val="7"/>
  </w:num>
  <w:num w:numId="4" w16cid:durableId="711878483">
    <w:abstractNumId w:val="7"/>
  </w:num>
  <w:num w:numId="5" w16cid:durableId="1241133128">
    <w:abstractNumId w:val="6"/>
  </w:num>
  <w:num w:numId="6" w16cid:durableId="1313173907">
    <w:abstractNumId w:val="6"/>
  </w:num>
  <w:num w:numId="7" w16cid:durableId="204752802">
    <w:abstractNumId w:val="5"/>
  </w:num>
  <w:num w:numId="8" w16cid:durableId="622804969">
    <w:abstractNumId w:val="5"/>
  </w:num>
  <w:num w:numId="9" w16cid:durableId="2038891165">
    <w:abstractNumId w:val="4"/>
  </w:num>
  <w:num w:numId="10" w16cid:durableId="720053738">
    <w:abstractNumId w:val="4"/>
  </w:num>
  <w:num w:numId="11" w16cid:durableId="464277632">
    <w:abstractNumId w:val="8"/>
  </w:num>
  <w:num w:numId="12" w16cid:durableId="1886600487">
    <w:abstractNumId w:val="8"/>
  </w:num>
  <w:num w:numId="13" w16cid:durableId="597059687">
    <w:abstractNumId w:val="3"/>
  </w:num>
  <w:num w:numId="14" w16cid:durableId="888879239">
    <w:abstractNumId w:val="3"/>
  </w:num>
  <w:num w:numId="15" w16cid:durableId="706563237">
    <w:abstractNumId w:val="2"/>
  </w:num>
  <w:num w:numId="16" w16cid:durableId="492337943">
    <w:abstractNumId w:val="2"/>
  </w:num>
  <w:num w:numId="17" w16cid:durableId="601642566">
    <w:abstractNumId w:val="1"/>
  </w:num>
  <w:num w:numId="18" w16cid:durableId="1654604859">
    <w:abstractNumId w:val="1"/>
  </w:num>
  <w:num w:numId="19" w16cid:durableId="1988821016">
    <w:abstractNumId w:val="0"/>
  </w:num>
  <w:num w:numId="20" w16cid:durableId="1851018425">
    <w:abstractNumId w:val="0"/>
  </w:num>
  <w:num w:numId="21" w16cid:durableId="2021200992">
    <w:abstractNumId w:val="9"/>
  </w:num>
  <w:num w:numId="22" w16cid:durableId="1446196645">
    <w:abstractNumId w:val="7"/>
  </w:num>
  <w:num w:numId="23" w16cid:durableId="623343982">
    <w:abstractNumId w:val="6"/>
  </w:num>
  <w:num w:numId="24" w16cid:durableId="53552856">
    <w:abstractNumId w:val="5"/>
  </w:num>
  <w:num w:numId="25" w16cid:durableId="1366060365">
    <w:abstractNumId w:val="4"/>
  </w:num>
  <w:num w:numId="26" w16cid:durableId="1513033785">
    <w:abstractNumId w:val="8"/>
  </w:num>
  <w:num w:numId="27" w16cid:durableId="464280393">
    <w:abstractNumId w:val="3"/>
  </w:num>
  <w:num w:numId="28" w16cid:durableId="1236819893">
    <w:abstractNumId w:val="2"/>
  </w:num>
  <w:num w:numId="29" w16cid:durableId="666597182">
    <w:abstractNumId w:val="1"/>
  </w:num>
  <w:num w:numId="30" w16cid:durableId="860123362">
    <w:abstractNumId w:val="0"/>
  </w:num>
  <w:num w:numId="31" w16cid:durableId="217979854">
    <w:abstractNumId w:val="9"/>
  </w:num>
  <w:num w:numId="32" w16cid:durableId="1271166525">
    <w:abstractNumId w:val="7"/>
  </w:num>
  <w:num w:numId="33" w16cid:durableId="351805233">
    <w:abstractNumId w:val="6"/>
  </w:num>
  <w:num w:numId="34" w16cid:durableId="572356408">
    <w:abstractNumId w:val="5"/>
  </w:num>
  <w:num w:numId="35" w16cid:durableId="986590717">
    <w:abstractNumId w:val="4"/>
  </w:num>
  <w:num w:numId="36" w16cid:durableId="730467238">
    <w:abstractNumId w:val="8"/>
  </w:num>
  <w:num w:numId="37" w16cid:durableId="950744473">
    <w:abstractNumId w:val="3"/>
  </w:num>
  <w:num w:numId="38" w16cid:durableId="213590366">
    <w:abstractNumId w:val="2"/>
  </w:num>
  <w:num w:numId="39" w16cid:durableId="402411626">
    <w:abstractNumId w:val="1"/>
  </w:num>
  <w:num w:numId="40" w16cid:durableId="242300592">
    <w:abstractNumId w:val="0"/>
  </w:num>
  <w:num w:numId="41" w16cid:durableId="858663803">
    <w:abstractNumId w:val="10"/>
  </w:num>
  <w:num w:numId="42" w16cid:durableId="1311324889">
    <w:abstractNumId w:val="10"/>
  </w:num>
  <w:num w:numId="43" w16cid:durableId="449395565">
    <w:abstractNumId w:val="10"/>
  </w:num>
  <w:num w:numId="44" w16cid:durableId="794062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3/2025"/>
    <w:docVar w:name="dvlangue" w:val="FI"/>
    <w:docVar w:name="dvnumam" w:val="0"/>
    <w:docVar w:name="dvpe" w:val="774.380"/>
    <w:docVar w:name="dvrapporteur" w:val="Esittelijä: "/>
    <w:docVar w:name="dvtitre" w:val="Euroopan parlamentin päätöslauselma xx. lokakuuta 2025 Ilaria Salisin koskemattomuuden pidättämistä koskevasta pyynnöstä(2024/2086(IMM))"/>
  </w:docVars>
  <w:rsids>
    <w:rsidRoot w:val="00FA2838"/>
    <w:rsid w:val="00002272"/>
    <w:rsid w:val="00030B68"/>
    <w:rsid w:val="0005125F"/>
    <w:rsid w:val="00064002"/>
    <w:rsid w:val="000677B9"/>
    <w:rsid w:val="000831BA"/>
    <w:rsid w:val="00083542"/>
    <w:rsid w:val="000A42CC"/>
    <w:rsid w:val="000A5B22"/>
    <w:rsid w:val="000E7DD9"/>
    <w:rsid w:val="0010095E"/>
    <w:rsid w:val="00125B37"/>
    <w:rsid w:val="00187494"/>
    <w:rsid w:val="001F32AE"/>
    <w:rsid w:val="00204096"/>
    <w:rsid w:val="002767FF"/>
    <w:rsid w:val="002B18FE"/>
    <w:rsid w:val="002B5493"/>
    <w:rsid w:val="002B6A32"/>
    <w:rsid w:val="00343214"/>
    <w:rsid w:val="00361C00"/>
    <w:rsid w:val="00395FA1"/>
    <w:rsid w:val="003E15D4"/>
    <w:rsid w:val="00411CCE"/>
    <w:rsid w:val="0041666E"/>
    <w:rsid w:val="00421060"/>
    <w:rsid w:val="00441CAD"/>
    <w:rsid w:val="00471C19"/>
    <w:rsid w:val="004867E3"/>
    <w:rsid w:val="00494A28"/>
    <w:rsid w:val="004C0004"/>
    <w:rsid w:val="004C5D52"/>
    <w:rsid w:val="0050519A"/>
    <w:rsid w:val="005072A1"/>
    <w:rsid w:val="00514517"/>
    <w:rsid w:val="00545827"/>
    <w:rsid w:val="00560270"/>
    <w:rsid w:val="0056698D"/>
    <w:rsid w:val="005B231E"/>
    <w:rsid w:val="005C2568"/>
    <w:rsid w:val="005F1B17"/>
    <w:rsid w:val="006037C0"/>
    <w:rsid w:val="006631B6"/>
    <w:rsid w:val="00680577"/>
    <w:rsid w:val="006D3A56"/>
    <w:rsid w:val="006F74FA"/>
    <w:rsid w:val="00727E7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305"/>
    <w:rsid w:val="00AF3B82"/>
    <w:rsid w:val="00B12E95"/>
    <w:rsid w:val="00B22876"/>
    <w:rsid w:val="00B558F0"/>
    <w:rsid w:val="00B74FA8"/>
    <w:rsid w:val="00BD48FE"/>
    <w:rsid w:val="00BD7BD8"/>
    <w:rsid w:val="00BE6ADC"/>
    <w:rsid w:val="00C05BFE"/>
    <w:rsid w:val="00C23CD4"/>
    <w:rsid w:val="00C61C0C"/>
    <w:rsid w:val="00C941CB"/>
    <w:rsid w:val="00C955A3"/>
    <w:rsid w:val="00CC2357"/>
    <w:rsid w:val="00CF071A"/>
    <w:rsid w:val="00D058B8"/>
    <w:rsid w:val="00D05AE6"/>
    <w:rsid w:val="00D56C11"/>
    <w:rsid w:val="00D65EB7"/>
    <w:rsid w:val="00D834A0"/>
    <w:rsid w:val="00D872DF"/>
    <w:rsid w:val="00D91E21"/>
    <w:rsid w:val="00DA7FCD"/>
    <w:rsid w:val="00DD6B37"/>
    <w:rsid w:val="00E1038B"/>
    <w:rsid w:val="00E365E1"/>
    <w:rsid w:val="00E820A4"/>
    <w:rsid w:val="00EB006A"/>
    <w:rsid w:val="00EB4772"/>
    <w:rsid w:val="00ED169E"/>
    <w:rsid w:val="00ED4235"/>
    <w:rsid w:val="00F04346"/>
    <w:rsid w:val="00F075DC"/>
    <w:rsid w:val="00F149E9"/>
    <w:rsid w:val="00F5134D"/>
    <w:rsid w:val="00F672E6"/>
    <w:rsid w:val="00F74202"/>
    <w:rsid w:val="00F87713"/>
    <w:rsid w:val="00FA28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C6A42"/>
  <w15:chartTrackingRefBased/>
  <w15:docId w15:val="{685CF562-9FD4-4345-B23E-1C1905E7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6B3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5125F"/>
    <w:pPr>
      <w:spacing w:after="240"/>
      <w:ind w:left="567" w:hanging="567"/>
    </w:pPr>
  </w:style>
  <w:style w:type="paragraph" w:customStyle="1" w:styleId="EPComma">
    <w:name w:val="EPComma"/>
    <w:basedOn w:val="Normal"/>
    <w:rsid w:val="0005125F"/>
    <w:pPr>
      <w:spacing w:before="480" w:after="240"/>
    </w:pPr>
  </w:style>
  <w:style w:type="paragraph" w:styleId="Footer">
    <w:name w:val="footer"/>
    <w:basedOn w:val="Normal"/>
    <w:link w:val="FooterChar"/>
    <w:rsid w:val="00DD6B37"/>
    <w:pPr>
      <w:tabs>
        <w:tab w:val="center" w:pos="4513"/>
        <w:tab w:val="right" w:pos="9026"/>
      </w:tabs>
    </w:pPr>
  </w:style>
  <w:style w:type="character" w:customStyle="1" w:styleId="FooterChar">
    <w:name w:val="Footer Char"/>
    <w:basedOn w:val="DefaultParagraphFont"/>
    <w:link w:val="Footer"/>
    <w:rsid w:val="00DD6B37"/>
    <w:rPr>
      <w:sz w:val="24"/>
      <w:lang w:val="fi-FI"/>
    </w:rPr>
  </w:style>
  <w:style w:type="paragraph" w:styleId="Revision">
    <w:name w:val="Revision"/>
    <w:hidden/>
    <w:uiPriority w:val="99"/>
    <w:semiHidden/>
    <w:rsid w:val="00441CAD"/>
    <w:rPr>
      <w:sz w:val="24"/>
      <w:lang w:val="fi-FI"/>
    </w:rPr>
  </w:style>
  <w:style w:type="character" w:styleId="CommentReference">
    <w:name w:val="annotation reference"/>
    <w:basedOn w:val="DefaultParagraphFont"/>
    <w:rsid w:val="00441CAD"/>
    <w:rPr>
      <w:sz w:val="16"/>
      <w:szCs w:val="16"/>
    </w:rPr>
  </w:style>
  <w:style w:type="paragraph" w:styleId="CommentText">
    <w:name w:val="annotation text"/>
    <w:basedOn w:val="Normal"/>
    <w:link w:val="CommentTextChar"/>
    <w:rsid w:val="00441CAD"/>
    <w:rPr>
      <w:sz w:val="20"/>
    </w:rPr>
  </w:style>
  <w:style w:type="character" w:customStyle="1" w:styleId="CommentTextChar">
    <w:name w:val="Comment Text Char"/>
    <w:basedOn w:val="DefaultParagraphFont"/>
    <w:link w:val="CommentText"/>
    <w:rsid w:val="00441CAD"/>
    <w:rPr>
      <w:lang w:val="fi-FI"/>
    </w:rPr>
  </w:style>
  <w:style w:type="paragraph" w:styleId="CommentSubject">
    <w:name w:val="annotation subject"/>
    <w:basedOn w:val="CommentText"/>
    <w:next w:val="CommentText"/>
    <w:link w:val="CommentSubjectChar"/>
    <w:rsid w:val="00441CAD"/>
    <w:rPr>
      <w:b/>
      <w:bCs/>
    </w:rPr>
  </w:style>
  <w:style w:type="character" w:customStyle="1" w:styleId="CommentSubjectChar">
    <w:name w:val="Comment Subject Char"/>
    <w:basedOn w:val="CommentTextChar"/>
    <w:link w:val="CommentSubject"/>
    <w:rsid w:val="00441CAD"/>
    <w:rPr>
      <w:b/>
      <w:bCs/>
      <w:lang w:val="fi-FI"/>
    </w:rPr>
  </w:style>
  <w:style w:type="paragraph" w:styleId="BalloonText">
    <w:name w:val="Balloon Text"/>
    <w:basedOn w:val="Normal"/>
    <w:link w:val="BalloonTextChar"/>
    <w:rsid w:val="00C955A3"/>
    <w:rPr>
      <w:rFonts w:ascii="Segoe UI" w:hAnsi="Segoe UI" w:cs="Segoe UI"/>
      <w:sz w:val="18"/>
      <w:szCs w:val="18"/>
    </w:rPr>
  </w:style>
  <w:style w:type="character" w:customStyle="1" w:styleId="BalloonTextChar">
    <w:name w:val="Balloon Text Char"/>
    <w:basedOn w:val="DefaultParagraphFont"/>
    <w:link w:val="BalloonText"/>
    <w:rsid w:val="00C955A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913CD-4306-4136-AE51-50465A6B7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772</Words>
  <Characters>6098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CALDBECK Anna</cp:lastModifiedBy>
  <cp:revision>2</cp:revision>
  <cp:lastPrinted>2004-11-19T15:42:00Z</cp:lastPrinted>
  <dcterms:created xsi:type="dcterms:W3CDTF">2025-11-04T14:23:00Z</dcterms:created>
  <dcterms:modified xsi:type="dcterms:W3CDTF">2025-11-04T14:23:00Z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A10-0183/2025</vt:lpwstr>
  </property>
  <property fmtid="{D5CDD505-2E9C-101B-9397-08002B2CF9AE}" pid="4" name="&lt;Type&gt;">
    <vt:lpwstr>RR</vt:lpwstr>
  </property>
</Properties>
</file>