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77357" w14:paraId="38EE5D60" w14:textId="77777777" w:rsidTr="0010095E">
        <w:trPr>
          <w:trHeight w:hRule="exact" w:val="1418"/>
        </w:trPr>
        <w:tc>
          <w:tcPr>
            <w:tcW w:w="6804" w:type="dxa"/>
            <w:shd w:val="clear" w:color="auto" w:fill="auto"/>
            <w:vAlign w:val="center"/>
          </w:tcPr>
          <w:p w14:paraId="5844D57A" w14:textId="77777777" w:rsidR="00751A4A" w:rsidRPr="00F77357" w:rsidRDefault="008C4F4B" w:rsidP="0010095E">
            <w:pPr>
              <w:pStyle w:val="EPName"/>
            </w:pPr>
            <w:r w:rsidRPr="00F77357">
              <w:t>Parlement européen</w:t>
            </w:r>
          </w:p>
          <w:p w14:paraId="63BE7D77" w14:textId="77777777" w:rsidR="00751A4A" w:rsidRPr="00F77357" w:rsidRDefault="005F1B17" w:rsidP="005F1B17">
            <w:pPr>
              <w:pStyle w:val="EPTerm"/>
              <w:rPr>
                <w:rStyle w:val="HideTWBExt"/>
                <w:noProof w:val="0"/>
                <w:vanish w:val="0"/>
                <w:color w:val="auto"/>
              </w:rPr>
            </w:pPr>
            <w:r w:rsidRPr="00F77357">
              <w:t>2024</w:t>
            </w:r>
            <w:r w:rsidR="00817416" w:rsidRPr="00F77357">
              <w:t>-202</w:t>
            </w:r>
            <w:r w:rsidRPr="00F77357">
              <w:t>9</w:t>
            </w:r>
          </w:p>
        </w:tc>
        <w:tc>
          <w:tcPr>
            <w:tcW w:w="2268" w:type="dxa"/>
            <w:shd w:val="clear" w:color="auto" w:fill="auto"/>
          </w:tcPr>
          <w:p w14:paraId="1DE01766" w14:textId="77777777" w:rsidR="00751A4A" w:rsidRPr="00F77357" w:rsidRDefault="00187494" w:rsidP="0010095E">
            <w:pPr>
              <w:pStyle w:val="EPLogo"/>
            </w:pPr>
            <w:r w:rsidRPr="00F77357">
              <w:rPr>
                <w:noProof/>
                <w:lang w:eastAsia="ja-JP"/>
              </w:rPr>
              <w:drawing>
                <wp:inline distT="0" distB="0" distL="0" distR="0" wp14:anchorId="782E4DA0" wp14:editId="2364E0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8103FE" w14:textId="77777777" w:rsidR="00D058B8" w:rsidRPr="00F77357" w:rsidRDefault="00D058B8" w:rsidP="004C5D52">
      <w:pPr>
        <w:pStyle w:val="LineTop"/>
      </w:pPr>
    </w:p>
    <w:p w14:paraId="0F82F221" w14:textId="77777777" w:rsidR="00680577" w:rsidRPr="00F77357" w:rsidRDefault="008C4F4B" w:rsidP="00680577">
      <w:pPr>
        <w:pStyle w:val="EPBodyTA1"/>
      </w:pPr>
      <w:r w:rsidRPr="00F77357">
        <w:t>TEXTES ADOPTÉS</w:t>
      </w:r>
    </w:p>
    <w:p w14:paraId="2D8FA113" w14:textId="77777777" w:rsidR="00D058B8" w:rsidRPr="00F77357" w:rsidRDefault="00D058B8" w:rsidP="00D058B8">
      <w:pPr>
        <w:pStyle w:val="LineBottom"/>
      </w:pPr>
    </w:p>
    <w:p w14:paraId="7A231B82" w14:textId="61480D30" w:rsidR="008C4F4B" w:rsidRPr="00F77357" w:rsidRDefault="008C4F4B" w:rsidP="008C4F4B">
      <w:pPr>
        <w:pStyle w:val="ATHeading1"/>
      </w:pPr>
      <w:bookmarkStart w:id="0" w:name="TANumber"/>
      <w:r w:rsidRPr="00F77357">
        <w:t>P10_TA(2025)0</w:t>
      </w:r>
      <w:r w:rsidR="009F00A4">
        <w:t>206</w:t>
      </w:r>
      <w:bookmarkEnd w:id="0"/>
    </w:p>
    <w:p w14:paraId="2FE3409D" w14:textId="02FC4D40" w:rsidR="008C4F4B" w:rsidRPr="00F77357" w:rsidRDefault="00C21E31" w:rsidP="008C4F4B">
      <w:pPr>
        <w:pStyle w:val="ATHeading2"/>
      </w:pPr>
      <w:bookmarkStart w:id="1" w:name="title"/>
      <w:r w:rsidRPr="00C21E31">
        <w:rPr>
          <w:bCs/>
        </w:rPr>
        <w:t>Demande de levée de l’immunité d’</w:t>
      </w:r>
      <w:proofErr w:type="spellStart"/>
      <w:r w:rsidRPr="00C21E31">
        <w:rPr>
          <w:bCs/>
        </w:rPr>
        <w:t>Ilaria</w:t>
      </w:r>
      <w:proofErr w:type="spellEnd"/>
      <w:r w:rsidRPr="00C21E31">
        <w:rPr>
          <w:bCs/>
        </w:rPr>
        <w:t xml:space="preserve"> Salis</w:t>
      </w:r>
      <w:bookmarkEnd w:id="1"/>
    </w:p>
    <w:p w14:paraId="3C32A093" w14:textId="77777777" w:rsidR="008C4F4B" w:rsidRPr="00F77357" w:rsidRDefault="008C4F4B" w:rsidP="008C4F4B">
      <w:pPr>
        <w:rPr>
          <w:i/>
          <w:vanish/>
        </w:rPr>
      </w:pPr>
      <w:r w:rsidRPr="00F77357">
        <w:rPr>
          <w:i/>
        </w:rPr>
        <w:fldChar w:fldCharType="begin"/>
      </w:r>
      <w:r w:rsidRPr="00F77357">
        <w:rPr>
          <w:i/>
        </w:rPr>
        <w:instrText xml:space="preserve"> TC"(</w:instrText>
      </w:r>
      <w:bookmarkStart w:id="2" w:name="DocNumber"/>
      <w:r w:rsidRPr="00F77357">
        <w:rPr>
          <w:i/>
        </w:rPr>
        <w:instrText>A10-0183/2025</w:instrText>
      </w:r>
      <w:bookmarkEnd w:id="2"/>
      <w:r w:rsidRPr="00F77357">
        <w:rPr>
          <w:i/>
        </w:rPr>
        <w:instrText xml:space="preserve"> - Rapporteur: Ilhan Kyuchyuk)"\l3 \n&gt; \* MERGEFORMAT </w:instrText>
      </w:r>
      <w:r w:rsidRPr="00F77357">
        <w:rPr>
          <w:i/>
        </w:rPr>
        <w:fldChar w:fldCharType="end"/>
      </w:r>
    </w:p>
    <w:p w14:paraId="7D470390" w14:textId="77777777" w:rsidR="008C4F4B" w:rsidRPr="00F77357" w:rsidRDefault="008C4F4B" w:rsidP="008C4F4B">
      <w:pPr>
        <w:rPr>
          <w:vanish/>
        </w:rPr>
      </w:pPr>
      <w:bookmarkStart w:id="3" w:name="Commission"/>
      <w:r w:rsidRPr="00F77357">
        <w:rPr>
          <w:vanish/>
        </w:rPr>
        <w:t>Commission des affaires juridiques</w:t>
      </w:r>
      <w:bookmarkEnd w:id="3"/>
    </w:p>
    <w:p w14:paraId="28609530" w14:textId="77777777" w:rsidR="008C4F4B" w:rsidRPr="00F77357" w:rsidRDefault="008C4F4B" w:rsidP="008C4F4B">
      <w:pPr>
        <w:rPr>
          <w:vanish/>
        </w:rPr>
      </w:pPr>
      <w:bookmarkStart w:id="4" w:name="PE"/>
      <w:r w:rsidRPr="00F77357">
        <w:rPr>
          <w:vanish/>
        </w:rPr>
        <w:t>PE774.380</w:t>
      </w:r>
      <w:bookmarkEnd w:id="4"/>
    </w:p>
    <w:p w14:paraId="1C481F3E" w14:textId="1CA1FEB6" w:rsidR="008C4F4B" w:rsidRPr="00F77357" w:rsidRDefault="008C4F4B" w:rsidP="008C4F4B">
      <w:pPr>
        <w:pStyle w:val="ATHeading3"/>
      </w:pPr>
      <w:bookmarkStart w:id="5" w:name="Sujet"/>
      <w:r w:rsidRPr="00F77357">
        <w:t>Décision du Parlement européen du</w:t>
      </w:r>
      <w:r w:rsidR="00331588">
        <w:t xml:space="preserve"> </w:t>
      </w:r>
      <w:r w:rsidR="008716A4">
        <w:t>7 octobre</w:t>
      </w:r>
      <w:r w:rsidRPr="00F77357">
        <w:t xml:space="preserve"> 2025 sur la demande de levée de l’immunité d’</w:t>
      </w:r>
      <w:proofErr w:type="spellStart"/>
      <w:r w:rsidRPr="00F77357">
        <w:t>Ilaria</w:t>
      </w:r>
      <w:proofErr w:type="spellEnd"/>
      <w:r w:rsidRPr="00F77357">
        <w:t> Salis</w:t>
      </w:r>
      <w:bookmarkEnd w:id="5"/>
      <w:r w:rsidRPr="00F77357">
        <w:t xml:space="preserve"> </w:t>
      </w:r>
      <w:bookmarkStart w:id="6" w:name="References"/>
      <w:r w:rsidRPr="00F77357">
        <w:t>(2024/2086(IMM))</w:t>
      </w:r>
      <w:bookmarkEnd w:id="6"/>
    </w:p>
    <w:p w14:paraId="2B2FD554" w14:textId="77777777" w:rsidR="00111A63" w:rsidRPr="00F77357" w:rsidRDefault="00111A63" w:rsidP="00111A63">
      <w:pPr>
        <w:pStyle w:val="EPComma"/>
      </w:pPr>
      <w:bookmarkStart w:id="7" w:name="TextBodyBegin"/>
      <w:bookmarkEnd w:id="7"/>
      <w:r w:rsidRPr="00F77357">
        <w:rPr>
          <w:i/>
        </w:rPr>
        <w:t>Le Parlement européen</w:t>
      </w:r>
      <w:r w:rsidRPr="00F77357">
        <w:t>,</w:t>
      </w:r>
    </w:p>
    <w:p w14:paraId="6517B8C7" w14:textId="66044EFD" w:rsidR="00111A63" w:rsidRPr="00F77357" w:rsidRDefault="00111A63" w:rsidP="00111A63">
      <w:pPr>
        <w:pStyle w:val="NormalHanging12a"/>
      </w:pPr>
      <w:r w:rsidRPr="00F77357">
        <w:t>–</w:t>
      </w:r>
      <w:r w:rsidRPr="00F77357">
        <w:tab/>
        <w:t>vu la demande de levée de l'immunité d'</w:t>
      </w:r>
      <w:proofErr w:type="spellStart"/>
      <w:r w:rsidRPr="00F77357">
        <w:t>Ilaria</w:t>
      </w:r>
      <w:proofErr w:type="spellEnd"/>
      <w:r w:rsidRPr="00F77357">
        <w:t xml:space="preserve"> Salis</w:t>
      </w:r>
      <w:r w:rsidR="008716A4">
        <w:t xml:space="preserve">, </w:t>
      </w:r>
      <w:r w:rsidR="00556DE7">
        <w:t xml:space="preserve">datée </w:t>
      </w:r>
      <w:r w:rsidR="008716A4">
        <w:t xml:space="preserve">du </w:t>
      </w:r>
      <w:r w:rsidR="008716A4" w:rsidRPr="00F77357">
        <w:t>10 octobre 2024</w:t>
      </w:r>
      <w:r w:rsidR="00556DE7">
        <w:t>,</w:t>
      </w:r>
      <w:r w:rsidR="008716A4" w:rsidRPr="00F77357">
        <w:t xml:space="preserve"> </w:t>
      </w:r>
      <w:r w:rsidRPr="00F77357">
        <w:t xml:space="preserve"> présentée par la cour </w:t>
      </w:r>
      <w:r w:rsidR="00556DE7">
        <w:t xml:space="preserve">régionale </w:t>
      </w:r>
      <w:r w:rsidRPr="00F77357">
        <w:t xml:space="preserve">de Budapest-Capitale </w:t>
      </w:r>
      <w:r w:rsidR="00556DE7">
        <w:t xml:space="preserve">en liaison avec </w:t>
      </w:r>
      <w:r w:rsidRPr="00F77357">
        <w:t>une procédure pénale pendante devant ladite cour, et communiquée en séance plénière le 22 octobre 2024,</w:t>
      </w:r>
    </w:p>
    <w:p w14:paraId="5A188C26" w14:textId="7CCD9028" w:rsidR="00111A63" w:rsidRPr="00F77357" w:rsidRDefault="00111A63" w:rsidP="00111A63">
      <w:pPr>
        <w:pStyle w:val="NormalHanging12a"/>
      </w:pPr>
      <w:r w:rsidRPr="00F77357">
        <w:t>–</w:t>
      </w:r>
      <w:r w:rsidRPr="00F77357">
        <w:tab/>
        <w:t xml:space="preserve">ayant entendu </w:t>
      </w:r>
      <w:proofErr w:type="spellStart"/>
      <w:r w:rsidRPr="00F77357">
        <w:t>Ilaria</w:t>
      </w:r>
      <w:proofErr w:type="spellEnd"/>
      <w:r w:rsidRPr="00F77357">
        <w:t xml:space="preserve"> Salis le 13 février 2025 et vu les documents qu’elle a </w:t>
      </w:r>
      <w:r w:rsidR="00556DE7">
        <w:t>présentés</w:t>
      </w:r>
      <w:r w:rsidRPr="00F77357">
        <w:t>,</w:t>
      </w:r>
      <w:r w:rsidR="004A571B">
        <w:t xml:space="preserve"> </w:t>
      </w:r>
      <w:r w:rsidR="004A571B" w:rsidRPr="00F77357">
        <w:t xml:space="preserve">conformément à l’article 9, paragraphe 6, de son règlement intérieur, </w:t>
      </w:r>
    </w:p>
    <w:p w14:paraId="7AC5702F" w14:textId="572C1EF3" w:rsidR="00111A63" w:rsidRPr="00F77357" w:rsidRDefault="00111A63" w:rsidP="00111A63">
      <w:pPr>
        <w:pStyle w:val="NormalHanging12a"/>
      </w:pPr>
      <w:r w:rsidRPr="00F77357">
        <w:t>–</w:t>
      </w:r>
      <w:r w:rsidRPr="00F77357">
        <w:tab/>
        <w:t xml:space="preserve">vu les informations complémentaires fournies par la cour </w:t>
      </w:r>
      <w:r w:rsidR="00FA47BE">
        <w:t xml:space="preserve">régionale </w:t>
      </w:r>
      <w:r w:rsidRPr="00F77357">
        <w:t>de Budapest-Capitale,</w:t>
      </w:r>
    </w:p>
    <w:p w14:paraId="036DA7E0" w14:textId="35EEC819" w:rsidR="00111A63" w:rsidRPr="00F77357" w:rsidRDefault="00111A63" w:rsidP="00111A63">
      <w:pPr>
        <w:pStyle w:val="NormalHanging12a"/>
      </w:pPr>
      <w:r w:rsidRPr="00F77357">
        <w:t>–</w:t>
      </w:r>
      <w:r w:rsidRPr="00F77357">
        <w:tab/>
        <w:t>vu les articles 8 et 9 du protocole nº 7 sur les privilèges et immunités de l’Union européenne ainsi que l’article 6, paragraphe 2, de l’acte portant élection des membres du Parlement européen au suffrage universel direct,</w:t>
      </w:r>
      <w:r w:rsidR="00556DE7" w:rsidRPr="00556DE7">
        <w:t xml:space="preserve"> </w:t>
      </w:r>
      <w:r w:rsidR="00556DE7" w:rsidRPr="00F77357">
        <w:t>du 20 septembre 1976</w:t>
      </w:r>
      <w:r w:rsidR="00556DE7">
        <w:t>,</w:t>
      </w:r>
    </w:p>
    <w:p w14:paraId="20CDE5F6" w14:textId="77777777" w:rsidR="00111A63" w:rsidRPr="00F77357" w:rsidRDefault="00111A63" w:rsidP="00111A63">
      <w:pPr>
        <w:pStyle w:val="NormalHanging12a"/>
      </w:pPr>
      <w:r w:rsidRPr="00F77357">
        <w:t>–</w:t>
      </w:r>
      <w:r w:rsidRPr="00F77357">
        <w:tab/>
        <w:t>vu les arrêts rendus par la Cour de justice de l’Union européenne les 21 octobre 2008, 19 mars 2010, 6 septembre 2011, 17 janvier 2013, 19 décembre 2019 et 5 juillet 2023</w:t>
      </w:r>
      <w:r w:rsidRPr="00F77357">
        <w:rPr>
          <w:rStyle w:val="FootnoteReference"/>
          <w:color w:val="000000"/>
        </w:rPr>
        <w:footnoteReference w:id="1"/>
      </w:r>
      <w:r w:rsidRPr="00F77357">
        <w:t>,</w:t>
      </w:r>
    </w:p>
    <w:p w14:paraId="15FBE0F1" w14:textId="77777777" w:rsidR="00111A63" w:rsidRPr="00F77357" w:rsidRDefault="00111A63" w:rsidP="00111A63">
      <w:pPr>
        <w:pStyle w:val="NormalHanging12a"/>
      </w:pPr>
      <w:r w:rsidRPr="00F77357">
        <w:t>–</w:t>
      </w:r>
      <w:r w:rsidRPr="00F77357">
        <w:tab/>
        <w:t>vu l’article 5, paragraphe 2, l’article 6, paragraphe 1, et l’article 9 de son règlement intérieur,</w:t>
      </w:r>
    </w:p>
    <w:p w14:paraId="7AF13778" w14:textId="77777777" w:rsidR="00111A63" w:rsidRPr="00F77357" w:rsidRDefault="00111A63" w:rsidP="00111A63">
      <w:pPr>
        <w:pStyle w:val="NormalHanging12a"/>
      </w:pPr>
      <w:r w:rsidRPr="00F77357">
        <w:lastRenderedPageBreak/>
        <w:t>–</w:t>
      </w:r>
      <w:r w:rsidRPr="00F77357">
        <w:tab/>
        <w:t>vu le rapport de la commission des affaires juridiques (A10-0183/2025),</w:t>
      </w:r>
    </w:p>
    <w:p w14:paraId="12E9E019" w14:textId="1E1B4DA7" w:rsidR="00111A63" w:rsidRPr="00F77357" w:rsidRDefault="00111A63" w:rsidP="00111A63">
      <w:pPr>
        <w:pStyle w:val="NormalHanging12a"/>
      </w:pPr>
      <w:r w:rsidRPr="00F77357">
        <w:t>A.</w:t>
      </w:r>
      <w:r w:rsidRPr="00F77357">
        <w:tab/>
        <w:t>considérant</w:t>
      </w:r>
      <w:r w:rsidR="00556DE7">
        <w:t xml:space="preserve"> que</w:t>
      </w:r>
      <w:r w:rsidR="00FA47BE">
        <w:t>, le 10 octobre 2024,</w:t>
      </w:r>
      <w:r w:rsidRPr="00F77357">
        <w:t xml:space="preserve"> la cour </w:t>
      </w:r>
      <w:r w:rsidR="00FA47BE">
        <w:t xml:space="preserve">régionale </w:t>
      </w:r>
      <w:r w:rsidRPr="00F77357">
        <w:t>de Budapest-Capitale</w:t>
      </w:r>
      <w:r w:rsidR="00FA47BE">
        <w:t xml:space="preserve"> </w:t>
      </w:r>
      <w:r w:rsidRPr="00F77357">
        <w:t>a demandé la levée de l'immunité d’</w:t>
      </w:r>
      <w:proofErr w:type="spellStart"/>
      <w:r w:rsidRPr="00F77357">
        <w:t>Ilaria</w:t>
      </w:r>
      <w:proofErr w:type="spellEnd"/>
      <w:r w:rsidRPr="00F77357">
        <w:t xml:space="preserve"> Salis, députée au Parlement européen élue en Italie, </w:t>
      </w:r>
      <w:r w:rsidR="00556DE7">
        <w:t xml:space="preserve">en liaison avec </w:t>
      </w:r>
      <w:r w:rsidRPr="00F77357">
        <w:t>une procédure pénale dont elle a été saisie;</w:t>
      </w:r>
    </w:p>
    <w:p w14:paraId="3146C8F8" w14:textId="4F216A52" w:rsidR="00111A63" w:rsidRPr="00F77357" w:rsidRDefault="00111A63" w:rsidP="00111A63">
      <w:pPr>
        <w:pStyle w:val="NormalHanging12a"/>
      </w:pPr>
      <w:r w:rsidRPr="00F77357">
        <w:t>B.</w:t>
      </w:r>
      <w:r w:rsidRPr="00F77357">
        <w:tab/>
        <w:t xml:space="preserve">considérant que, selon la demande, les membres d’une organisation créée en Allemagne ont décidé, en 2022, de mener à Budapest des attaques coordonnées violentes contre des sympathisants d’extrême droite, ou des personnes non identifiées perçues comme des sympathisants d’extrême droite ou soupçonnées de l'être, et ont planifié ces attaques pour le 11 février 2023, et les jours précédant et suivant cette date, qui célèbre la «Journée de l’honneur», événement annuel à Budapest qui commémore une tentative de percée des troupes nazies assiégées en 1945 et qui est un point de rencontre pour la scène néo-nazie en Europe; que, selon la demande, </w:t>
      </w:r>
      <w:proofErr w:type="spellStart"/>
      <w:r w:rsidRPr="00F77357">
        <w:t>Ilaria</w:t>
      </w:r>
      <w:proofErr w:type="spellEnd"/>
      <w:r w:rsidRPr="00F77357">
        <w:t xml:space="preserve"> Salis s’est rendue en Hongrie pour participer à ces attaques coordonnées et y a pris part les 10 et 11 février 2023; que des altercations et des actes de violence commis par les personnes célébrant la</w:t>
      </w:r>
      <w:r w:rsidR="00556DE7">
        <w:t>dite</w:t>
      </w:r>
      <w:r w:rsidRPr="00F77357">
        <w:t xml:space="preserve"> «Journée de l’honneur» ont été signalés; que la cour </w:t>
      </w:r>
      <w:r w:rsidR="00FA47BE">
        <w:t xml:space="preserve">régionale </w:t>
      </w:r>
      <w:r w:rsidRPr="00F77357">
        <w:t xml:space="preserve">de Budapest-Capitale a indiqué qu’elle n’avait néanmoins connaissance d’aucun </w:t>
      </w:r>
      <w:r w:rsidR="00556DE7">
        <w:t xml:space="preserve">acte de </w:t>
      </w:r>
      <w:r w:rsidRPr="00F77357">
        <w:t>violence qui aurait été commis par des participants à la commémoration de la</w:t>
      </w:r>
      <w:r w:rsidR="00556DE7">
        <w:t>dite</w:t>
      </w:r>
      <w:r w:rsidRPr="00F77357">
        <w:t xml:space="preserve"> «Journée de l’honneur» en 2023 - autres qu’</w:t>
      </w:r>
      <w:proofErr w:type="spellStart"/>
      <w:r w:rsidRPr="00F77357">
        <w:t>Ilaria</w:t>
      </w:r>
      <w:proofErr w:type="spellEnd"/>
      <w:r w:rsidRPr="00F77357">
        <w:t xml:space="preserve"> Salis et deux autres défendeurs dans l’affaire - et qui aurait donné lieu à l’ouverture de poursuites à leur encontre;</w:t>
      </w:r>
    </w:p>
    <w:p w14:paraId="03989A2E" w14:textId="4FF8AB2C" w:rsidR="00111A63" w:rsidRPr="00F77357" w:rsidRDefault="00111A63" w:rsidP="00111A63">
      <w:pPr>
        <w:pStyle w:val="NormalHanging12a"/>
      </w:pPr>
      <w:r w:rsidRPr="00F77357">
        <w:t>C.</w:t>
      </w:r>
      <w:r w:rsidRPr="00F77357">
        <w:tab/>
        <w:t xml:space="preserve">considérant que, selon la demande, </w:t>
      </w:r>
      <w:proofErr w:type="spellStart"/>
      <w:r w:rsidRPr="00F77357">
        <w:t>Ilaria</w:t>
      </w:r>
      <w:proofErr w:type="spellEnd"/>
      <w:r w:rsidRPr="00F77357">
        <w:t xml:space="preserve"> Salis, l’un des trois défendeurs dans l’affaire, est accusée de trois tentatives de coups et blessures pouvant entraîner la mort, commises dans le cadre d’une organisation criminelle - dans deux cas en tant que coauteur et dans un cas en tant que complice  -, crime prévu à l’article 164, paragraphe 8, première </w:t>
      </w:r>
      <w:r w:rsidR="00556DE7">
        <w:t>partie</w:t>
      </w:r>
      <w:r w:rsidRPr="00F77357">
        <w:t xml:space="preserve">, de la loi C de 2012 relative au code pénal hongrois et contraire à l’article 164, paragraphe 1, de ladite loi; que les actes prétendument commis par </w:t>
      </w:r>
      <w:proofErr w:type="spellStart"/>
      <w:r w:rsidRPr="00F77357">
        <w:t>Ilaria</w:t>
      </w:r>
      <w:proofErr w:type="spellEnd"/>
      <w:r w:rsidRPr="00F77357">
        <w:t xml:space="preserve"> Salis constituent donc des infractions pénales au sens du code pénal hongrois;</w:t>
      </w:r>
    </w:p>
    <w:p w14:paraId="105F8026" w14:textId="391C17D9" w:rsidR="00111A63" w:rsidRPr="00F77357" w:rsidRDefault="00111A63" w:rsidP="00111A63">
      <w:pPr>
        <w:pStyle w:val="NormalHanging12a"/>
        <w:rPr>
          <w:szCs w:val="24"/>
          <w:shd w:val="clear" w:color="auto" w:fill="FFFFFF"/>
        </w:rPr>
      </w:pPr>
      <w:r w:rsidRPr="00F77357">
        <w:t>D.</w:t>
      </w:r>
      <w:r w:rsidRPr="00F77357">
        <w:tab/>
        <w:t>considérant qu’</w:t>
      </w:r>
      <w:proofErr w:type="spellStart"/>
      <w:r w:rsidRPr="00F77357">
        <w:t>Ilaria</w:t>
      </w:r>
      <w:proofErr w:type="spellEnd"/>
      <w:r w:rsidRPr="00F77357">
        <w:t xml:space="preserve"> Salis </w:t>
      </w:r>
      <w:r w:rsidRPr="00F77357">
        <w:rPr>
          <w:shd w:val="clear" w:color="auto" w:fill="FFFFFF"/>
        </w:rPr>
        <w:t xml:space="preserve">a été élue députée au Parlement européen lors des élections européennes de </w:t>
      </w:r>
      <w:r w:rsidR="00A7026B">
        <w:rPr>
          <w:shd w:val="clear" w:color="auto" w:fill="FFFFFF"/>
        </w:rPr>
        <w:t xml:space="preserve">juin </w:t>
      </w:r>
      <w:r w:rsidRPr="00F77357">
        <w:rPr>
          <w:shd w:val="clear" w:color="auto" w:fill="FFFFFF"/>
        </w:rPr>
        <w:t>2024</w:t>
      </w:r>
      <w:r w:rsidRPr="00F77357">
        <w:t>;</w:t>
      </w:r>
    </w:p>
    <w:p w14:paraId="3AC3F671" w14:textId="707A6EEB" w:rsidR="00111A63" w:rsidRPr="00F77357" w:rsidRDefault="00111A63" w:rsidP="00111A63">
      <w:pPr>
        <w:pStyle w:val="NormalHanging12a"/>
      </w:pPr>
      <w:r w:rsidRPr="00F77357">
        <w:t>E.</w:t>
      </w:r>
      <w:r w:rsidRPr="00F77357">
        <w:tab/>
        <w:t xml:space="preserve">considérant que les infractions présumées </w:t>
      </w:r>
      <w:r w:rsidR="0032483C">
        <w:t xml:space="preserve">ne constituent pas des </w:t>
      </w:r>
      <w:r w:rsidR="0032483C" w:rsidRPr="00F77357">
        <w:t xml:space="preserve">opinions ou </w:t>
      </w:r>
      <w:r w:rsidR="0032483C">
        <w:t>des</w:t>
      </w:r>
      <w:r w:rsidR="0032483C" w:rsidRPr="00F77357">
        <w:t xml:space="preserve"> votes émis par </w:t>
      </w:r>
      <w:proofErr w:type="spellStart"/>
      <w:r w:rsidR="0032483C" w:rsidRPr="00F77357">
        <w:t>Ilaria</w:t>
      </w:r>
      <w:proofErr w:type="spellEnd"/>
      <w:r w:rsidR="0032483C" w:rsidRPr="00F77357">
        <w:t xml:space="preserve"> Salis dans l’exercice de ses fonctions au sens de l’article 8 du protocole n</w:t>
      </w:r>
      <w:r w:rsidR="0032483C" w:rsidRPr="00F77357">
        <w:rPr>
          <w:vertAlign w:val="superscript"/>
        </w:rPr>
        <w:t>o</w:t>
      </w:r>
      <w:r w:rsidR="0032483C" w:rsidRPr="00F77357">
        <w:t> 7 sur les privilèges et immunités de l’Union européenne</w:t>
      </w:r>
      <w:r w:rsidR="00A7026B" w:rsidRPr="00A7026B">
        <w:t xml:space="preserve"> </w:t>
      </w:r>
      <w:r w:rsidRPr="00F77357">
        <w:t xml:space="preserve">et </w:t>
      </w:r>
      <w:r w:rsidR="0032483C">
        <w:t xml:space="preserve">que </w:t>
      </w:r>
      <w:r w:rsidRPr="00F77357">
        <w:t xml:space="preserve">la demande de levée de son immunité qui en découle </w:t>
      </w:r>
      <w:r w:rsidR="0032483C">
        <w:t>n’est pas liée à une telle opinion ou à un tel vote</w:t>
      </w:r>
      <w:r w:rsidRPr="00F77357">
        <w:t>;</w:t>
      </w:r>
    </w:p>
    <w:p w14:paraId="0AD20F37" w14:textId="4ED67AFA" w:rsidR="00111A63" w:rsidRPr="00F77357" w:rsidRDefault="00111A63" w:rsidP="00111A63">
      <w:pPr>
        <w:pStyle w:val="NormalHanging12a"/>
        <w:rPr>
          <w:spacing w:val="-4"/>
        </w:rPr>
      </w:pPr>
      <w:r w:rsidRPr="00F77357">
        <w:t>F.</w:t>
      </w:r>
      <w:r w:rsidRPr="00F77357">
        <w:tab/>
        <w:t xml:space="preserve">considérant que l’article 9, premier alinéa, du protocole nº 7 sur les privilèges et immunités de l’Union européenne dispose que les membres du Parlement européen bénéficient, sur leur territoire national, des immunités reconnues aux membres du parlement de leur </w:t>
      </w:r>
      <w:r w:rsidR="0032483C" w:rsidRPr="00454BF2">
        <w:t>État</w:t>
      </w:r>
      <w:r w:rsidRPr="00F77357">
        <w:t xml:space="preserve">, et </w:t>
      </w:r>
      <w:r w:rsidR="0032483C">
        <w:t xml:space="preserve">ne peuvent, </w:t>
      </w:r>
      <w:r w:rsidRPr="00F77357">
        <w:t xml:space="preserve">sur le territoire de tout autre État membre, </w:t>
      </w:r>
      <w:r w:rsidR="0032483C">
        <w:t>ni être détenus ni faire l’objet</w:t>
      </w:r>
      <w:r w:rsidRPr="00F77357">
        <w:t xml:space="preserve"> de poursuite</w:t>
      </w:r>
      <w:r w:rsidR="0032483C">
        <w:t>s</w:t>
      </w:r>
      <w:r w:rsidRPr="00F77357">
        <w:t xml:space="preserve"> judiciaire</w:t>
      </w:r>
      <w:r w:rsidR="0032483C">
        <w:t>s</w:t>
      </w:r>
      <w:r w:rsidRPr="00F77357">
        <w:t>;</w:t>
      </w:r>
    </w:p>
    <w:p w14:paraId="379E735E" w14:textId="64A48039" w:rsidR="00111A63" w:rsidRPr="00F77357" w:rsidRDefault="00111A63" w:rsidP="00111A63">
      <w:pPr>
        <w:pStyle w:val="NormalHanging12a"/>
      </w:pPr>
      <w:r w:rsidRPr="00F77357">
        <w:t>G.</w:t>
      </w:r>
      <w:r w:rsidRPr="00F77357">
        <w:tab/>
        <w:t xml:space="preserve">considérant que, conformément à l’article 5, paragraphe 2, de son règlement intérieur, l’immunité parlementaire n’est pas un privilège personnel du député, mais une garantie d’indépendance du Parlement </w:t>
      </w:r>
      <w:r w:rsidR="00940CFD">
        <w:t xml:space="preserve">européen </w:t>
      </w:r>
      <w:r w:rsidRPr="00F77357">
        <w:t>dans son ensemble et de ses députés;</w:t>
      </w:r>
    </w:p>
    <w:p w14:paraId="54BCB470" w14:textId="195A4BC1" w:rsidR="00111A63" w:rsidRPr="00F77357" w:rsidRDefault="00111A63" w:rsidP="00111A63">
      <w:pPr>
        <w:pStyle w:val="NormalHanging12a"/>
      </w:pPr>
      <w:r w:rsidRPr="00F77357">
        <w:t>H.</w:t>
      </w:r>
      <w:r w:rsidRPr="00F77357">
        <w:tab/>
        <w:t xml:space="preserve">considérant qu’il ressort de la jurisprudence de la Cour de justice de l’Union européenne que le Parlement dispose d’un «très large pouvoir d’appréciation quant à l’orientation </w:t>
      </w:r>
      <w:r w:rsidRPr="00F77357">
        <w:lastRenderedPageBreak/>
        <w:t xml:space="preserve">qu’il entend donner à une décision faisant suite à une demande de levée d’immunité </w:t>
      </w:r>
      <w:bookmarkStart w:id="8" w:name="_Hlk210734128"/>
      <w:r w:rsidR="0032483C">
        <w:t xml:space="preserve">ou de défense </w:t>
      </w:r>
      <w:r w:rsidR="0032483C" w:rsidRPr="00385FD7">
        <w:t>d</w:t>
      </w:r>
      <w:r w:rsidR="0032483C">
        <w:t>e l</w:t>
      </w:r>
      <w:r w:rsidR="0032483C" w:rsidRPr="00385FD7">
        <w:t>’immunité</w:t>
      </w:r>
      <w:bookmarkEnd w:id="8"/>
      <w:r w:rsidRPr="00F77357">
        <w:t>, en raison du caractère politique que revêt une telle décision»</w:t>
      </w:r>
      <w:r w:rsidRPr="00F77357">
        <w:rPr>
          <w:vertAlign w:val="superscript"/>
        </w:rPr>
        <w:footnoteReference w:id="2"/>
      </w:r>
      <w:r w:rsidRPr="00F77357">
        <w:t>;</w:t>
      </w:r>
    </w:p>
    <w:p w14:paraId="66631DFA" w14:textId="48154AE9" w:rsidR="00111A63" w:rsidRPr="00F77357" w:rsidRDefault="00111A63" w:rsidP="00111A63">
      <w:pPr>
        <w:pStyle w:val="NormalHanging12a"/>
      </w:pPr>
      <w:r w:rsidRPr="00F77357">
        <w:t>I.</w:t>
      </w:r>
      <w:r w:rsidRPr="00F77357">
        <w:tab/>
        <w:t>considérant que, dans l’exercice de ce très large pouvoir d’appréciation, le Parlement a constaté, en l’espèce, qu’</w:t>
      </w:r>
      <w:proofErr w:type="spellStart"/>
      <w:r w:rsidRPr="00F77357">
        <w:t>Ilaria</w:t>
      </w:r>
      <w:proofErr w:type="spellEnd"/>
      <w:r w:rsidRPr="00F77357">
        <w:t xml:space="preserve"> Salis avait été soumise à des conditions de détention et à des mesures sévères au cours de la procédure pénale menée à son encontre; qu’il apparaît que la cour </w:t>
      </w:r>
      <w:r w:rsidR="00D75BE4">
        <w:t xml:space="preserve">régionale </w:t>
      </w:r>
      <w:r w:rsidRPr="00F77357">
        <w:t>de Budapest-Capitale n’a connaissance d’aucun</w:t>
      </w:r>
      <w:r w:rsidR="0032483C">
        <w:t xml:space="preserve"> acte de</w:t>
      </w:r>
      <w:r w:rsidRPr="00F77357">
        <w:t xml:space="preserve"> violence qui aurait été commis par d’autres participants, en particulier ceux qui ont pris part à la commémoration de la</w:t>
      </w:r>
      <w:r w:rsidR="0032483C">
        <w:t>dite</w:t>
      </w:r>
      <w:r w:rsidRPr="00F77357">
        <w:t xml:space="preserve"> «Journée de l’honneur» en 2023, et qui aurait donné lieu à l’ouverture de poursuites à leur encontre; qu’il apparaît donc qu’il existe un doute qui n’aurait pas pu être dissipé quant aux informations reçues; que l’objectif sous-jacent de la procédure et de la demande qui en découle semble donc être de réduire au silence </w:t>
      </w:r>
      <w:proofErr w:type="spellStart"/>
      <w:r w:rsidRPr="00F77357">
        <w:t>Ilaria</w:t>
      </w:r>
      <w:proofErr w:type="spellEnd"/>
      <w:r w:rsidRPr="00F77357">
        <w:t xml:space="preserve"> Salis en raison de ses opinions politiques et de son activisme de longue date, en particulier son opposition à la commémoration néonazie annuelle autorisée à Budapest, qui sont également à la base de son engagement et de son activité politique en sa qualité de députée au Parlement européen;</w:t>
      </w:r>
    </w:p>
    <w:p w14:paraId="0381F23D" w14:textId="77777777" w:rsidR="00111A63" w:rsidRPr="00F77357" w:rsidRDefault="00111A63" w:rsidP="00111A63">
      <w:pPr>
        <w:pStyle w:val="NormalHanging12a"/>
      </w:pPr>
      <w:r w:rsidRPr="00F77357">
        <w:t>J.</w:t>
      </w:r>
      <w:r w:rsidRPr="00F77357">
        <w:tab/>
        <w:t xml:space="preserve">considérant qu’il apparaît dès lors qu’en l’espèce, on peut supposer l’existence d’un cas de </w:t>
      </w:r>
      <w:proofErr w:type="spellStart"/>
      <w:r w:rsidRPr="00F77357">
        <w:rPr>
          <w:i/>
          <w:iCs/>
        </w:rPr>
        <w:t>fumus</w:t>
      </w:r>
      <w:proofErr w:type="spellEnd"/>
      <w:r w:rsidRPr="00F77357">
        <w:rPr>
          <w:i/>
          <w:iCs/>
        </w:rPr>
        <w:t xml:space="preserve"> </w:t>
      </w:r>
      <w:proofErr w:type="spellStart"/>
      <w:r w:rsidRPr="00F77357">
        <w:rPr>
          <w:i/>
          <w:iCs/>
        </w:rPr>
        <w:t>persecutionis</w:t>
      </w:r>
      <w:proofErr w:type="spellEnd"/>
      <w:r w:rsidRPr="00F77357">
        <w:t>, c’est-à-dire qu’il y a des «éléments concrets»</w:t>
      </w:r>
      <w:r w:rsidRPr="00F77357">
        <w:rPr>
          <w:vertAlign w:val="superscript"/>
        </w:rPr>
        <w:footnoteReference w:id="3"/>
      </w:r>
      <w:r w:rsidRPr="00F77357">
        <w:t xml:space="preserve"> indiquant que les poursuites judiciaires en question ont été engagées dans l’intention de nuire à l’activité politique d’</w:t>
      </w:r>
      <w:proofErr w:type="spellStart"/>
      <w:r w:rsidRPr="00F77357">
        <w:t>Ilaria</w:t>
      </w:r>
      <w:proofErr w:type="spellEnd"/>
      <w:r w:rsidRPr="00F77357">
        <w:t xml:space="preserve"> Salis en sa qualité de membre du Parlement européen;</w:t>
      </w:r>
    </w:p>
    <w:p w14:paraId="2B36CFA6" w14:textId="77777777" w:rsidR="00111A63" w:rsidRPr="00F77357" w:rsidRDefault="00111A63" w:rsidP="00111A63">
      <w:pPr>
        <w:pStyle w:val="NormalHanging12a"/>
      </w:pPr>
      <w:r w:rsidRPr="00F77357">
        <w:t>K.</w:t>
      </w:r>
      <w:r w:rsidRPr="00F77357">
        <w:tab/>
        <w:t>considérant, d’une part, que le Parlement ne saurait être assimilé à un tribunal et, d’autre part, que le député ne saurait, dans le contexte d’une procédure de levée d’immunité, être considéré comme un «accusé»</w:t>
      </w:r>
      <w:r w:rsidRPr="00F77357">
        <w:rPr>
          <w:rStyle w:val="FootnoteReference"/>
          <w:color w:val="000000"/>
        </w:rPr>
        <w:footnoteReference w:id="4"/>
      </w:r>
      <w:r w:rsidRPr="00F77357">
        <w:t>;</w:t>
      </w:r>
    </w:p>
    <w:p w14:paraId="70C8E3B3" w14:textId="77777777" w:rsidR="00111A63" w:rsidRPr="00F77357" w:rsidRDefault="00111A63" w:rsidP="00111A63">
      <w:pPr>
        <w:pStyle w:val="NormalHanging12a"/>
      </w:pPr>
      <w:r w:rsidRPr="00F77357">
        <w:t>1.</w:t>
      </w:r>
      <w:r w:rsidRPr="00F77357">
        <w:tab/>
        <w:t>décide de ne pas lever l'immunité d’</w:t>
      </w:r>
      <w:proofErr w:type="spellStart"/>
      <w:r w:rsidRPr="00F77357">
        <w:t>Ilaria</w:t>
      </w:r>
      <w:proofErr w:type="spellEnd"/>
      <w:r w:rsidRPr="00F77357">
        <w:t xml:space="preserve"> Salis;</w:t>
      </w:r>
    </w:p>
    <w:p w14:paraId="5AD40DB4" w14:textId="73E797DF" w:rsidR="00E365E1" w:rsidRPr="00F77357" w:rsidRDefault="00111A63" w:rsidP="00D75BE4">
      <w:pPr>
        <w:tabs>
          <w:tab w:val="left" w:pos="567"/>
        </w:tabs>
        <w:ind w:left="567" w:hanging="567"/>
      </w:pPr>
      <w:r w:rsidRPr="00F77357">
        <w:t>2.</w:t>
      </w:r>
      <w:r w:rsidR="00D75BE4">
        <w:tab/>
      </w:r>
      <w:r w:rsidRPr="00F77357">
        <w:t xml:space="preserve">charge sa Présidente de transmettre immédiatement la présente décision et le rapport de sa commission compétente à l’autorité compétente en Hongrie et à </w:t>
      </w:r>
      <w:proofErr w:type="spellStart"/>
      <w:r w:rsidRPr="00F77357">
        <w:t>Ilaria</w:t>
      </w:r>
      <w:proofErr w:type="spellEnd"/>
      <w:r w:rsidRPr="00F77357">
        <w:t xml:space="preserve"> Salis.</w:t>
      </w:r>
    </w:p>
    <w:sectPr w:rsidR="00E365E1" w:rsidRPr="00F77357" w:rsidSect="00F773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5C74C" w14:textId="77777777" w:rsidR="008C4F4B" w:rsidRPr="00F77357" w:rsidRDefault="008C4F4B">
      <w:r w:rsidRPr="00F77357">
        <w:separator/>
      </w:r>
    </w:p>
  </w:endnote>
  <w:endnote w:type="continuationSeparator" w:id="0">
    <w:p w14:paraId="0F4A5C82" w14:textId="77777777" w:rsidR="008C4F4B" w:rsidRPr="00F77357" w:rsidRDefault="008C4F4B">
      <w:r w:rsidRPr="00F773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FDD0F" w14:textId="77777777" w:rsidR="00064002" w:rsidRPr="00F7735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DA0555" w14:textId="77777777" w:rsidR="00064002" w:rsidRPr="00F7735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A0489" w14:textId="77777777" w:rsidR="00064002" w:rsidRPr="00F773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199B1" w14:textId="77777777" w:rsidR="008C4F4B" w:rsidRPr="00F77357" w:rsidRDefault="008C4F4B">
      <w:r w:rsidRPr="00F77357">
        <w:separator/>
      </w:r>
    </w:p>
  </w:footnote>
  <w:footnote w:type="continuationSeparator" w:id="0">
    <w:p w14:paraId="7AA073C1" w14:textId="77777777" w:rsidR="008C4F4B" w:rsidRPr="00F77357" w:rsidRDefault="008C4F4B">
      <w:r w:rsidRPr="00F77357">
        <w:continuationSeparator/>
      </w:r>
    </w:p>
  </w:footnote>
  <w:footnote w:id="1">
    <w:p w14:paraId="1B9DF1B4" w14:textId="576A3E66" w:rsidR="00111A63" w:rsidRPr="00C016FF" w:rsidRDefault="00111A63" w:rsidP="00F77357">
      <w:pPr>
        <w:pStyle w:val="FootnoteText"/>
        <w:ind w:left="567" w:hanging="567"/>
        <w:rPr>
          <w:sz w:val="24"/>
        </w:rPr>
      </w:pPr>
      <w:r w:rsidRPr="00C016FF">
        <w:rPr>
          <w:rStyle w:val="FootnoteReference"/>
          <w:sz w:val="24"/>
        </w:rPr>
        <w:footnoteRef/>
      </w:r>
      <w:r w:rsidR="00F77357" w:rsidRPr="00C016FF">
        <w:rPr>
          <w:sz w:val="24"/>
        </w:rPr>
        <w:t xml:space="preserve"> </w:t>
      </w:r>
      <w:r w:rsidR="00F77357" w:rsidRPr="00C016FF">
        <w:rPr>
          <w:sz w:val="24"/>
        </w:rPr>
        <w:tab/>
      </w:r>
      <w:r w:rsidRPr="00C016FF">
        <w:rPr>
          <w:sz w:val="24"/>
        </w:rPr>
        <w:t xml:space="preserve">Arrêt de la Cour de justice du 21 octobre 2008, Marra/De Gregorio et </w:t>
      </w:r>
      <w:proofErr w:type="spellStart"/>
      <w:r w:rsidRPr="00C016FF">
        <w:rPr>
          <w:sz w:val="24"/>
        </w:rPr>
        <w:t>Clemente</w:t>
      </w:r>
      <w:proofErr w:type="spellEnd"/>
      <w:r w:rsidRPr="00C016FF">
        <w:rPr>
          <w:sz w:val="24"/>
        </w:rPr>
        <w:t xml:space="preserve">, C-200/07 et C-201/07, ECLI:EU:C:2008:579; arrêt du Tribunal du 19 mars 2010, </w:t>
      </w:r>
      <w:proofErr w:type="spellStart"/>
      <w:r w:rsidRPr="00C016FF">
        <w:rPr>
          <w:sz w:val="24"/>
        </w:rPr>
        <w:t>Gollnisch</w:t>
      </w:r>
      <w:proofErr w:type="spellEnd"/>
      <w:r w:rsidRPr="00C016FF">
        <w:rPr>
          <w:sz w:val="24"/>
        </w:rPr>
        <w:t xml:space="preserve">/Parlement, T-42/06, ECLI:EU:T:2010:102; arrêt de la Cour de justice du 6 septembre 2011, </w:t>
      </w:r>
      <w:proofErr w:type="spellStart"/>
      <w:r w:rsidRPr="00C016FF">
        <w:rPr>
          <w:sz w:val="24"/>
        </w:rPr>
        <w:t>Patriciello</w:t>
      </w:r>
      <w:proofErr w:type="spellEnd"/>
      <w:r w:rsidRPr="00C016FF">
        <w:rPr>
          <w:sz w:val="24"/>
        </w:rPr>
        <w:t xml:space="preserve">, C-163/10, ECLI: EU:C:2011:543; arrêt du Tribunal du 17 janvier 2013, </w:t>
      </w:r>
      <w:proofErr w:type="spellStart"/>
      <w:r w:rsidRPr="00C016FF">
        <w:rPr>
          <w:sz w:val="24"/>
        </w:rPr>
        <w:t>Gollnisch</w:t>
      </w:r>
      <w:proofErr w:type="spellEnd"/>
      <w:r w:rsidRPr="00C016FF">
        <w:rPr>
          <w:sz w:val="24"/>
        </w:rPr>
        <w:t xml:space="preserve">/Parlement, T-346/11 et T-347/11, ECLI:EU:T:2013:23; arrêt de la Cour de justice du 19 décembre 2019, </w:t>
      </w:r>
      <w:proofErr w:type="spellStart"/>
      <w:r w:rsidRPr="00C016FF">
        <w:rPr>
          <w:sz w:val="24"/>
        </w:rPr>
        <w:t>Junqueras</w:t>
      </w:r>
      <w:proofErr w:type="spellEnd"/>
      <w:r w:rsidRPr="00C016FF">
        <w:rPr>
          <w:sz w:val="24"/>
        </w:rPr>
        <w:t xml:space="preserve"> Vies, C-502/19, ECLI:EU:C:2019:1115; arrêt du Tribunal du 5 juillet 2023, </w:t>
      </w:r>
      <w:proofErr w:type="spellStart"/>
      <w:r w:rsidRPr="00C016FF">
        <w:rPr>
          <w:sz w:val="24"/>
        </w:rPr>
        <w:t>Puigdemont</w:t>
      </w:r>
      <w:proofErr w:type="spellEnd"/>
      <w:r w:rsidRPr="00C016FF">
        <w:rPr>
          <w:sz w:val="24"/>
        </w:rPr>
        <w:t> i </w:t>
      </w:r>
      <w:proofErr w:type="spellStart"/>
      <w:r w:rsidRPr="00C016FF">
        <w:rPr>
          <w:sz w:val="24"/>
        </w:rPr>
        <w:t>Casamajó</w:t>
      </w:r>
      <w:proofErr w:type="spellEnd"/>
      <w:r w:rsidRPr="00C016FF">
        <w:rPr>
          <w:sz w:val="24"/>
        </w:rPr>
        <w:t xml:space="preserve"> e.a./Parlement, T-272/21, ECLI:EU:T:2023:373.</w:t>
      </w:r>
    </w:p>
  </w:footnote>
  <w:footnote w:id="2">
    <w:p w14:paraId="154E4BC7" w14:textId="7733B8E2" w:rsidR="00111A63" w:rsidRPr="00C016FF" w:rsidRDefault="00111A63" w:rsidP="00F77357">
      <w:pPr>
        <w:pStyle w:val="FootnoteText"/>
        <w:ind w:left="567" w:hanging="567"/>
        <w:rPr>
          <w:sz w:val="24"/>
        </w:rPr>
      </w:pPr>
      <w:r w:rsidRPr="00C016FF">
        <w:rPr>
          <w:rStyle w:val="FootnoteReference"/>
          <w:sz w:val="24"/>
        </w:rPr>
        <w:footnoteRef/>
      </w:r>
      <w:r w:rsidR="00F77357" w:rsidRPr="00C016FF">
        <w:rPr>
          <w:sz w:val="24"/>
        </w:rPr>
        <w:t xml:space="preserve"> </w:t>
      </w:r>
      <w:r w:rsidR="00F77357" w:rsidRPr="00C016FF">
        <w:rPr>
          <w:sz w:val="24"/>
        </w:rPr>
        <w:tab/>
      </w:r>
      <w:r w:rsidRPr="00C016FF">
        <w:rPr>
          <w:sz w:val="24"/>
        </w:rPr>
        <w:t xml:space="preserve">Arrêt du Tribunal du 17 janvier 2013, </w:t>
      </w:r>
      <w:proofErr w:type="spellStart"/>
      <w:r w:rsidRPr="00C016FF">
        <w:rPr>
          <w:sz w:val="24"/>
        </w:rPr>
        <w:t>Gollnisch</w:t>
      </w:r>
      <w:proofErr w:type="spellEnd"/>
      <w:r w:rsidRPr="00C016FF">
        <w:rPr>
          <w:sz w:val="24"/>
        </w:rPr>
        <w:t>/Parlement, T-346/11 et T-347/11, ECLI:EU:T:2013:23, point 59 et jurisprudence citée.</w:t>
      </w:r>
    </w:p>
  </w:footnote>
  <w:footnote w:id="3">
    <w:p w14:paraId="77BDCC69" w14:textId="7ED9FC41" w:rsidR="00111A63" w:rsidRPr="00C016FF" w:rsidRDefault="00111A63" w:rsidP="00F77357">
      <w:pPr>
        <w:pStyle w:val="FootnoteText"/>
        <w:ind w:left="567" w:hanging="567"/>
        <w:rPr>
          <w:sz w:val="24"/>
        </w:rPr>
      </w:pPr>
      <w:r w:rsidRPr="00C016FF">
        <w:rPr>
          <w:rStyle w:val="FootnoteReference"/>
          <w:sz w:val="24"/>
        </w:rPr>
        <w:footnoteRef/>
      </w:r>
      <w:r w:rsidR="00F77357" w:rsidRPr="00C016FF">
        <w:rPr>
          <w:sz w:val="24"/>
        </w:rPr>
        <w:t xml:space="preserve"> </w:t>
      </w:r>
      <w:r w:rsidR="00F77357" w:rsidRPr="00C016FF">
        <w:rPr>
          <w:sz w:val="24"/>
        </w:rPr>
        <w:tab/>
      </w:r>
      <w:r w:rsidRPr="00C016FF">
        <w:rPr>
          <w:sz w:val="24"/>
        </w:rPr>
        <w:t xml:space="preserve">Arrêt de la Cour de justice du 17 septembre 2020, </w:t>
      </w:r>
      <w:proofErr w:type="spellStart"/>
      <w:r w:rsidRPr="00C016FF">
        <w:rPr>
          <w:sz w:val="24"/>
        </w:rPr>
        <w:t>Troszczynski</w:t>
      </w:r>
      <w:proofErr w:type="spellEnd"/>
      <w:r w:rsidRPr="00C016FF">
        <w:rPr>
          <w:sz w:val="24"/>
        </w:rPr>
        <w:t>/Parlement, C-12/19 P, ECLI:EU:C:2020:725, point 26.</w:t>
      </w:r>
    </w:p>
  </w:footnote>
  <w:footnote w:id="4">
    <w:p w14:paraId="4757BE0C" w14:textId="5DF4D127" w:rsidR="00111A63" w:rsidRPr="00C016FF" w:rsidRDefault="00111A63" w:rsidP="00F77357">
      <w:pPr>
        <w:pStyle w:val="FootnoteText"/>
        <w:ind w:left="567" w:hanging="567"/>
        <w:rPr>
          <w:sz w:val="24"/>
        </w:rPr>
      </w:pPr>
      <w:r w:rsidRPr="00C016FF">
        <w:rPr>
          <w:rStyle w:val="FootnoteReference"/>
          <w:sz w:val="24"/>
        </w:rPr>
        <w:footnoteRef/>
      </w:r>
      <w:r w:rsidR="00F77357" w:rsidRPr="00C016FF">
        <w:rPr>
          <w:sz w:val="24"/>
        </w:rPr>
        <w:t xml:space="preserve"> </w:t>
      </w:r>
      <w:r w:rsidR="00F77357" w:rsidRPr="00C016FF">
        <w:rPr>
          <w:sz w:val="24"/>
        </w:rPr>
        <w:tab/>
      </w:r>
      <w:r w:rsidRPr="00C016FF">
        <w:rPr>
          <w:sz w:val="24"/>
        </w:rPr>
        <w:t>Arrêt du Tribunal du 30 avril 2019, Briois/Parlement,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3209C" w14:textId="77777777" w:rsidR="00064002" w:rsidRPr="00F7735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F4CDBA" w14:textId="77777777" w:rsidR="00064002" w:rsidRPr="00F7735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49E10C" w14:textId="77777777" w:rsidR="00064002" w:rsidRPr="00F773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47666540">
    <w:abstractNumId w:val="9"/>
  </w:num>
  <w:num w:numId="2" w16cid:durableId="1391659737">
    <w:abstractNumId w:val="9"/>
  </w:num>
  <w:num w:numId="3" w16cid:durableId="1078558698">
    <w:abstractNumId w:val="7"/>
  </w:num>
  <w:num w:numId="4" w16cid:durableId="1171413883">
    <w:abstractNumId w:val="7"/>
  </w:num>
  <w:num w:numId="5" w16cid:durableId="1491364734">
    <w:abstractNumId w:val="6"/>
  </w:num>
  <w:num w:numId="6" w16cid:durableId="1421683240">
    <w:abstractNumId w:val="6"/>
  </w:num>
  <w:num w:numId="7" w16cid:durableId="699211491">
    <w:abstractNumId w:val="5"/>
  </w:num>
  <w:num w:numId="8" w16cid:durableId="1381634450">
    <w:abstractNumId w:val="5"/>
  </w:num>
  <w:num w:numId="9" w16cid:durableId="1701398877">
    <w:abstractNumId w:val="4"/>
  </w:num>
  <w:num w:numId="10" w16cid:durableId="218522366">
    <w:abstractNumId w:val="4"/>
  </w:num>
  <w:num w:numId="11" w16cid:durableId="1707097395">
    <w:abstractNumId w:val="8"/>
  </w:num>
  <w:num w:numId="12" w16cid:durableId="1999843353">
    <w:abstractNumId w:val="8"/>
  </w:num>
  <w:num w:numId="13" w16cid:durableId="245849676">
    <w:abstractNumId w:val="3"/>
  </w:num>
  <w:num w:numId="14" w16cid:durableId="1903175561">
    <w:abstractNumId w:val="3"/>
  </w:num>
  <w:num w:numId="15" w16cid:durableId="2105609494">
    <w:abstractNumId w:val="2"/>
  </w:num>
  <w:num w:numId="16" w16cid:durableId="1643150167">
    <w:abstractNumId w:val="2"/>
  </w:num>
  <w:num w:numId="17" w16cid:durableId="130291493">
    <w:abstractNumId w:val="1"/>
  </w:num>
  <w:num w:numId="18" w16cid:durableId="158271923">
    <w:abstractNumId w:val="1"/>
  </w:num>
  <w:num w:numId="19" w16cid:durableId="797181660">
    <w:abstractNumId w:val="0"/>
  </w:num>
  <w:num w:numId="20" w16cid:durableId="1400246584">
    <w:abstractNumId w:val="0"/>
  </w:num>
  <w:num w:numId="21" w16cid:durableId="1829521021">
    <w:abstractNumId w:val="9"/>
  </w:num>
  <w:num w:numId="22" w16cid:durableId="1173881640">
    <w:abstractNumId w:val="7"/>
  </w:num>
  <w:num w:numId="23" w16cid:durableId="802118035">
    <w:abstractNumId w:val="6"/>
  </w:num>
  <w:num w:numId="24" w16cid:durableId="346443553">
    <w:abstractNumId w:val="5"/>
  </w:num>
  <w:num w:numId="25" w16cid:durableId="1783109254">
    <w:abstractNumId w:val="4"/>
  </w:num>
  <w:num w:numId="26" w16cid:durableId="1191453145">
    <w:abstractNumId w:val="8"/>
  </w:num>
  <w:num w:numId="27" w16cid:durableId="22949906">
    <w:abstractNumId w:val="3"/>
  </w:num>
  <w:num w:numId="28" w16cid:durableId="2058702220">
    <w:abstractNumId w:val="2"/>
  </w:num>
  <w:num w:numId="29" w16cid:durableId="2005743965">
    <w:abstractNumId w:val="1"/>
  </w:num>
  <w:num w:numId="30" w16cid:durableId="1695229198">
    <w:abstractNumId w:val="0"/>
  </w:num>
  <w:num w:numId="31" w16cid:durableId="47070977">
    <w:abstractNumId w:val="9"/>
  </w:num>
  <w:num w:numId="32" w16cid:durableId="1028410543">
    <w:abstractNumId w:val="7"/>
  </w:num>
  <w:num w:numId="33" w16cid:durableId="1813591954">
    <w:abstractNumId w:val="6"/>
  </w:num>
  <w:num w:numId="34" w16cid:durableId="1754887369">
    <w:abstractNumId w:val="5"/>
  </w:num>
  <w:num w:numId="35" w16cid:durableId="1999574865">
    <w:abstractNumId w:val="4"/>
  </w:num>
  <w:num w:numId="36" w16cid:durableId="1759986124">
    <w:abstractNumId w:val="8"/>
  </w:num>
  <w:num w:numId="37" w16cid:durableId="245306990">
    <w:abstractNumId w:val="3"/>
  </w:num>
  <w:num w:numId="38" w16cid:durableId="760299289">
    <w:abstractNumId w:val="2"/>
  </w:num>
  <w:num w:numId="39" w16cid:durableId="670184397">
    <w:abstractNumId w:val="1"/>
  </w:num>
  <w:num w:numId="40" w16cid:durableId="1484733387">
    <w:abstractNumId w:val="0"/>
  </w:num>
  <w:num w:numId="41" w16cid:durableId="133716593">
    <w:abstractNumId w:val="10"/>
  </w:num>
  <w:num w:numId="42" w16cid:durableId="1082990734">
    <w:abstractNumId w:val="10"/>
  </w:num>
  <w:num w:numId="43" w16cid:durableId="574625587">
    <w:abstractNumId w:val="10"/>
  </w:num>
  <w:num w:numId="44" w16cid:durableId="18799272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3/2025"/>
    <w:docVar w:name="dvlangue" w:val="FR"/>
    <w:docVar w:name="dvnumam" w:val="0"/>
    <w:docVar w:name="dvpe" w:val="774.380"/>
    <w:docVar w:name="dvrapporteur" w:val="Rapporteur: "/>
    <w:docVar w:name="dvtitre" w:val="Décision du Parlement européen du ... 2025 sur la demande de levée de l’immunité d’Ilaria Salis(2024/2086(IMM))"/>
  </w:docVars>
  <w:rsids>
    <w:rsidRoot w:val="008C4F4B"/>
    <w:rsid w:val="00002272"/>
    <w:rsid w:val="00064002"/>
    <w:rsid w:val="000677B9"/>
    <w:rsid w:val="000831BA"/>
    <w:rsid w:val="0008536E"/>
    <w:rsid w:val="000A42CC"/>
    <w:rsid w:val="000E7DD9"/>
    <w:rsid w:val="0010095E"/>
    <w:rsid w:val="00111A63"/>
    <w:rsid w:val="00125B37"/>
    <w:rsid w:val="00146C14"/>
    <w:rsid w:val="00187494"/>
    <w:rsid w:val="001F32AE"/>
    <w:rsid w:val="002767FF"/>
    <w:rsid w:val="002B18FE"/>
    <w:rsid w:val="002B5493"/>
    <w:rsid w:val="0032483C"/>
    <w:rsid w:val="00331588"/>
    <w:rsid w:val="00343214"/>
    <w:rsid w:val="00361C00"/>
    <w:rsid w:val="00395FA1"/>
    <w:rsid w:val="003E15D4"/>
    <w:rsid w:val="00411CCE"/>
    <w:rsid w:val="0041666E"/>
    <w:rsid w:val="00421060"/>
    <w:rsid w:val="00457AA5"/>
    <w:rsid w:val="00471C19"/>
    <w:rsid w:val="004867E3"/>
    <w:rsid w:val="00494A28"/>
    <w:rsid w:val="004A571B"/>
    <w:rsid w:val="004B3FA6"/>
    <w:rsid w:val="004C0004"/>
    <w:rsid w:val="004C5D52"/>
    <w:rsid w:val="0050519A"/>
    <w:rsid w:val="005072A1"/>
    <w:rsid w:val="00514517"/>
    <w:rsid w:val="00545827"/>
    <w:rsid w:val="00556DE7"/>
    <w:rsid w:val="00557627"/>
    <w:rsid w:val="00560270"/>
    <w:rsid w:val="005C2568"/>
    <w:rsid w:val="005F1B17"/>
    <w:rsid w:val="006037C0"/>
    <w:rsid w:val="006631B6"/>
    <w:rsid w:val="00680577"/>
    <w:rsid w:val="006A1F72"/>
    <w:rsid w:val="006F74FA"/>
    <w:rsid w:val="00731ADD"/>
    <w:rsid w:val="00734777"/>
    <w:rsid w:val="00747932"/>
    <w:rsid w:val="00751A4A"/>
    <w:rsid w:val="00756632"/>
    <w:rsid w:val="00762C74"/>
    <w:rsid w:val="00786EC0"/>
    <w:rsid w:val="007D1690"/>
    <w:rsid w:val="007E22AD"/>
    <w:rsid w:val="00804896"/>
    <w:rsid w:val="00817416"/>
    <w:rsid w:val="00842779"/>
    <w:rsid w:val="00865F67"/>
    <w:rsid w:val="008716A4"/>
    <w:rsid w:val="00881A7B"/>
    <w:rsid w:val="008840E5"/>
    <w:rsid w:val="00887B3E"/>
    <w:rsid w:val="008C2AC6"/>
    <w:rsid w:val="008C4F4B"/>
    <w:rsid w:val="00930C23"/>
    <w:rsid w:val="0093193B"/>
    <w:rsid w:val="00937EA0"/>
    <w:rsid w:val="00940CFD"/>
    <w:rsid w:val="009509D8"/>
    <w:rsid w:val="00950B64"/>
    <w:rsid w:val="00981893"/>
    <w:rsid w:val="009F00A4"/>
    <w:rsid w:val="00A1687D"/>
    <w:rsid w:val="00A43E52"/>
    <w:rsid w:val="00A4678D"/>
    <w:rsid w:val="00A7026B"/>
    <w:rsid w:val="00A778C7"/>
    <w:rsid w:val="00AB441E"/>
    <w:rsid w:val="00AB6293"/>
    <w:rsid w:val="00AE0928"/>
    <w:rsid w:val="00AF3B82"/>
    <w:rsid w:val="00B12E95"/>
    <w:rsid w:val="00B22876"/>
    <w:rsid w:val="00B558F0"/>
    <w:rsid w:val="00BD48FE"/>
    <w:rsid w:val="00BD7BD8"/>
    <w:rsid w:val="00BE6ADC"/>
    <w:rsid w:val="00C016FF"/>
    <w:rsid w:val="00C05BFE"/>
    <w:rsid w:val="00C21E31"/>
    <w:rsid w:val="00C23CD4"/>
    <w:rsid w:val="00C61C0C"/>
    <w:rsid w:val="00C941CB"/>
    <w:rsid w:val="00CC2357"/>
    <w:rsid w:val="00CF071A"/>
    <w:rsid w:val="00D058B8"/>
    <w:rsid w:val="00D56C11"/>
    <w:rsid w:val="00D75BE4"/>
    <w:rsid w:val="00D834A0"/>
    <w:rsid w:val="00D872DF"/>
    <w:rsid w:val="00D91E21"/>
    <w:rsid w:val="00DA21AD"/>
    <w:rsid w:val="00DA7FCD"/>
    <w:rsid w:val="00E365E1"/>
    <w:rsid w:val="00E820A4"/>
    <w:rsid w:val="00EB006A"/>
    <w:rsid w:val="00EB4772"/>
    <w:rsid w:val="00ED169E"/>
    <w:rsid w:val="00ED4235"/>
    <w:rsid w:val="00F04346"/>
    <w:rsid w:val="00F075DC"/>
    <w:rsid w:val="00F149E9"/>
    <w:rsid w:val="00F5134D"/>
    <w:rsid w:val="00F74202"/>
    <w:rsid w:val="00F77357"/>
    <w:rsid w:val="00F87713"/>
    <w:rsid w:val="00FA47BE"/>
    <w:rsid w:val="00FB4360"/>
    <w:rsid w:val="00FD0C70"/>
    <w:rsid w:val="00FD5C06"/>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B67294"/>
  <w15:chartTrackingRefBased/>
  <w15:docId w15:val="{3BF55039-B6E8-426F-8065-384328348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11A63"/>
    <w:pPr>
      <w:spacing w:after="240"/>
      <w:ind w:left="567" w:hanging="567"/>
    </w:pPr>
  </w:style>
  <w:style w:type="paragraph" w:customStyle="1" w:styleId="EPComma">
    <w:name w:val="EPComma"/>
    <w:basedOn w:val="Normal"/>
    <w:rsid w:val="00111A63"/>
    <w:pPr>
      <w:spacing w:before="480" w:after="240"/>
    </w:pPr>
  </w:style>
  <w:style w:type="paragraph" w:styleId="Revision">
    <w:name w:val="Revision"/>
    <w:hidden/>
    <w:uiPriority w:val="99"/>
    <w:semiHidden/>
    <w:rsid w:val="008716A4"/>
    <w:rPr>
      <w:sz w:val="24"/>
      <w:lang w:val="fr-FR"/>
    </w:rPr>
  </w:style>
  <w:style w:type="character" w:styleId="CommentReference">
    <w:name w:val="annotation reference"/>
    <w:basedOn w:val="DefaultParagraphFont"/>
    <w:rsid w:val="00A7026B"/>
    <w:rPr>
      <w:sz w:val="16"/>
      <w:szCs w:val="16"/>
    </w:rPr>
  </w:style>
  <w:style w:type="paragraph" w:styleId="CommentText">
    <w:name w:val="annotation text"/>
    <w:basedOn w:val="Normal"/>
    <w:link w:val="CommentTextChar"/>
    <w:rsid w:val="00A7026B"/>
    <w:rPr>
      <w:sz w:val="20"/>
    </w:rPr>
  </w:style>
  <w:style w:type="character" w:customStyle="1" w:styleId="CommentTextChar">
    <w:name w:val="Comment Text Char"/>
    <w:basedOn w:val="DefaultParagraphFont"/>
    <w:link w:val="CommentText"/>
    <w:rsid w:val="00A7026B"/>
    <w:rPr>
      <w:lang w:val="fr-FR"/>
    </w:rPr>
  </w:style>
  <w:style w:type="paragraph" w:styleId="CommentSubject">
    <w:name w:val="annotation subject"/>
    <w:basedOn w:val="CommentText"/>
    <w:next w:val="CommentText"/>
    <w:link w:val="CommentSubjectChar"/>
    <w:rsid w:val="00A7026B"/>
    <w:rPr>
      <w:b/>
      <w:bCs/>
    </w:rPr>
  </w:style>
  <w:style w:type="character" w:customStyle="1" w:styleId="CommentSubjectChar">
    <w:name w:val="Comment Subject Char"/>
    <w:basedOn w:val="CommentTextChar"/>
    <w:link w:val="CommentSubject"/>
    <w:rsid w:val="00A7026B"/>
    <w:rPr>
      <w:b/>
      <w:bCs/>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1085</Words>
  <Characters>5836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DELECROIX Dorothee</cp:lastModifiedBy>
  <cp:revision>2</cp:revision>
  <cp:lastPrinted>2004-11-19T15:42:00Z</cp:lastPrinted>
  <dcterms:created xsi:type="dcterms:W3CDTF">2025-10-07T12:57:00Z</dcterms:created>
  <dcterms:modified xsi:type="dcterms:W3CDTF">2025-10-07T12:57:00Z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A10-0183/2025</vt:lpwstr>
  </property>
  <property fmtid="{D5CDD505-2E9C-101B-9397-08002B2CF9AE}" pid="4" name="&lt;Type&gt;">
    <vt:lpwstr>RR</vt:lpwstr>
  </property>
</Properties>
</file>