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7AE3" w14:paraId="649DC00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E5167F" w14:textId="77777777" w:rsidR="00751A4A" w:rsidRPr="00547AE3" w:rsidRDefault="00CF7FD2" w:rsidP="0010095E">
            <w:pPr>
              <w:pStyle w:val="EPName"/>
            </w:pPr>
            <w:r w:rsidRPr="00547AE3">
              <w:t>Európai Parlament</w:t>
            </w:r>
          </w:p>
          <w:p w14:paraId="5E9CC8BF" w14:textId="77777777" w:rsidR="00751A4A" w:rsidRPr="00547A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7AE3">
              <w:t>2024</w:t>
            </w:r>
            <w:r w:rsidR="00817416" w:rsidRPr="00547AE3">
              <w:t>-202</w:t>
            </w:r>
            <w:r w:rsidRPr="00547AE3">
              <w:t>9</w:t>
            </w:r>
          </w:p>
        </w:tc>
        <w:tc>
          <w:tcPr>
            <w:tcW w:w="2268" w:type="dxa"/>
            <w:shd w:val="clear" w:color="auto" w:fill="auto"/>
          </w:tcPr>
          <w:p w14:paraId="3FCE3395" w14:textId="77777777" w:rsidR="00751A4A" w:rsidRPr="00547AE3" w:rsidRDefault="00187494" w:rsidP="0010095E">
            <w:pPr>
              <w:pStyle w:val="EPLogo"/>
            </w:pPr>
            <w:r w:rsidRPr="00547AE3">
              <w:rPr>
                <w:noProof/>
                <w:lang w:eastAsia="ja-JP"/>
              </w:rPr>
              <w:drawing>
                <wp:inline distT="0" distB="0" distL="0" distR="0" wp14:anchorId="52431F71" wp14:editId="741A1A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DCCA1" w14:textId="77777777" w:rsidR="00D058B8" w:rsidRPr="00547AE3" w:rsidRDefault="00D058B8" w:rsidP="004C5D52">
      <w:pPr>
        <w:pStyle w:val="LineTop"/>
      </w:pPr>
    </w:p>
    <w:p w14:paraId="61FFF369" w14:textId="77777777" w:rsidR="00680577" w:rsidRPr="00547AE3" w:rsidRDefault="00CF7FD2" w:rsidP="00680577">
      <w:pPr>
        <w:pStyle w:val="EPBodyTA1"/>
      </w:pPr>
      <w:r w:rsidRPr="00547AE3">
        <w:t>ELFOGADOTT SZÖVEGEK</w:t>
      </w:r>
    </w:p>
    <w:p w14:paraId="3329E274" w14:textId="77777777" w:rsidR="00D058B8" w:rsidRPr="00547AE3" w:rsidRDefault="00D058B8" w:rsidP="00D058B8">
      <w:pPr>
        <w:pStyle w:val="LineBottom"/>
      </w:pPr>
    </w:p>
    <w:p w14:paraId="68E157C7" w14:textId="67E37D9A" w:rsidR="00CF7FD2" w:rsidRPr="00547AE3" w:rsidRDefault="00CF7FD2" w:rsidP="00CF7FD2">
      <w:pPr>
        <w:pStyle w:val="ATHeading1"/>
      </w:pPr>
      <w:bookmarkStart w:id="0" w:name="TANumber"/>
      <w:r w:rsidRPr="00547AE3">
        <w:t>P10_</w:t>
      </w:r>
      <w:proofErr w:type="gramStart"/>
      <w:r w:rsidRPr="00547AE3">
        <w:t>TA(</w:t>
      </w:r>
      <w:proofErr w:type="gramEnd"/>
      <w:r w:rsidRPr="00547AE3">
        <w:t>2025)0</w:t>
      </w:r>
      <w:r w:rsidR="008D2067" w:rsidRPr="00547AE3">
        <w:t>206</w:t>
      </w:r>
      <w:bookmarkEnd w:id="0"/>
    </w:p>
    <w:p w14:paraId="27F14CC1" w14:textId="6DA69183" w:rsidR="00CF7FD2" w:rsidRPr="00547AE3" w:rsidRDefault="006E01AA" w:rsidP="00CF7FD2">
      <w:pPr>
        <w:pStyle w:val="ATHeading2"/>
      </w:pPr>
      <w:r w:rsidRPr="00547AE3">
        <w:rPr>
          <w:bCs/>
        </w:rPr>
        <w:t>Ilaria Salis mentelmi jogának felfüggesztésére irányuló kérelem</w:t>
      </w:r>
    </w:p>
    <w:p w14:paraId="6F1A4B52" w14:textId="77777777" w:rsidR="00CF7FD2" w:rsidRPr="00547AE3" w:rsidRDefault="00CF7FD2" w:rsidP="00CF7FD2">
      <w:pPr>
        <w:rPr>
          <w:i/>
          <w:vanish/>
        </w:rPr>
      </w:pPr>
      <w:r w:rsidRPr="00547AE3">
        <w:rPr>
          <w:i/>
        </w:rPr>
        <w:fldChar w:fldCharType="begin"/>
      </w:r>
      <w:r w:rsidRPr="00547AE3">
        <w:rPr>
          <w:i/>
        </w:rPr>
        <w:instrText xml:space="preserve"> TC"(</w:instrText>
      </w:r>
      <w:bookmarkStart w:id="1" w:name="DocNumber"/>
      <w:r w:rsidRPr="00547AE3">
        <w:rPr>
          <w:i/>
        </w:rPr>
        <w:instrText>A10-0183/2025</w:instrText>
      </w:r>
      <w:bookmarkEnd w:id="1"/>
      <w:r w:rsidRPr="00547AE3">
        <w:rPr>
          <w:i/>
        </w:rPr>
        <w:instrText xml:space="preserve"> - Előadó: Ilhan Kyuchyuk)"\l3 \n&gt; \* MERGEFORMAT </w:instrText>
      </w:r>
      <w:r w:rsidRPr="00547AE3">
        <w:rPr>
          <w:i/>
        </w:rPr>
        <w:fldChar w:fldCharType="end"/>
      </w:r>
    </w:p>
    <w:p w14:paraId="5EC8865E" w14:textId="77777777" w:rsidR="00CF7FD2" w:rsidRPr="00547AE3" w:rsidRDefault="00CF7FD2" w:rsidP="00CF7FD2">
      <w:pPr>
        <w:rPr>
          <w:vanish/>
        </w:rPr>
      </w:pPr>
      <w:bookmarkStart w:id="2" w:name="Commission"/>
      <w:r w:rsidRPr="00547AE3">
        <w:rPr>
          <w:vanish/>
        </w:rPr>
        <w:t>Jogi Bizottság</w:t>
      </w:r>
      <w:bookmarkEnd w:id="2"/>
    </w:p>
    <w:p w14:paraId="4DD7AE79" w14:textId="77777777" w:rsidR="00CF7FD2" w:rsidRPr="00547AE3" w:rsidRDefault="00CF7FD2" w:rsidP="00CF7FD2">
      <w:pPr>
        <w:rPr>
          <w:vanish/>
        </w:rPr>
      </w:pPr>
      <w:bookmarkStart w:id="3" w:name="PE"/>
      <w:r w:rsidRPr="00547AE3">
        <w:rPr>
          <w:vanish/>
        </w:rPr>
        <w:t>PE774.380</w:t>
      </w:r>
      <w:bookmarkEnd w:id="3"/>
    </w:p>
    <w:p w14:paraId="664D2821" w14:textId="02836E82" w:rsidR="00CF7FD2" w:rsidRPr="00547AE3" w:rsidRDefault="00CF7FD2" w:rsidP="00CF7FD2">
      <w:pPr>
        <w:pStyle w:val="ATHeading3"/>
      </w:pPr>
      <w:bookmarkStart w:id="4" w:name="Sujet"/>
      <w:r w:rsidRPr="00547AE3">
        <w:t xml:space="preserve">Az Európai Parlament 2025. </w:t>
      </w:r>
      <w:r w:rsidR="006E01AA" w:rsidRPr="00547AE3">
        <w:t>október</w:t>
      </w:r>
      <w:r w:rsidR="00D036C8">
        <w:t xml:space="preserve"> </w:t>
      </w:r>
      <w:r w:rsidR="006E01AA" w:rsidRPr="00547AE3">
        <w:t>7</w:t>
      </w:r>
      <w:r w:rsidRPr="00547AE3">
        <w:t>-i határozata az Ilaria Salis mentelmi jogának felfüggesztésére irányuló kérelemről</w:t>
      </w:r>
      <w:bookmarkEnd w:id="4"/>
      <w:r w:rsidRPr="00547AE3">
        <w:t xml:space="preserve"> </w:t>
      </w:r>
      <w:bookmarkStart w:id="5" w:name="References"/>
      <w:r w:rsidRPr="00547AE3">
        <w:t>(2024/2086(IMM))</w:t>
      </w:r>
      <w:bookmarkEnd w:id="5"/>
    </w:p>
    <w:p w14:paraId="5BB025F6" w14:textId="77777777" w:rsidR="00D83F31" w:rsidRPr="00547AE3" w:rsidRDefault="00D83F31" w:rsidP="00D83F31">
      <w:pPr>
        <w:pStyle w:val="EPComma"/>
      </w:pPr>
      <w:bookmarkStart w:id="6" w:name="TextBodyBegin"/>
      <w:bookmarkEnd w:id="6"/>
      <w:r w:rsidRPr="00547AE3">
        <w:rPr>
          <w:i/>
        </w:rPr>
        <w:t>Az Európai Parlament</w:t>
      </w:r>
      <w:r w:rsidRPr="00547AE3">
        <w:t>,</w:t>
      </w:r>
    </w:p>
    <w:p w14:paraId="0FAD480E" w14:textId="218C4A4E" w:rsidR="00D83F31" w:rsidRPr="00547AE3" w:rsidRDefault="00D83F31" w:rsidP="006E01AA">
      <w:pPr>
        <w:pStyle w:val="NormalHanging12a"/>
        <w:widowControl/>
      </w:pPr>
      <w:r w:rsidRPr="00547AE3">
        <w:t>–</w:t>
      </w:r>
      <w:r w:rsidRPr="00547AE3">
        <w:tab/>
        <w:t>tekintettel az Ilaria Salis mentelmi jogának felfüggesztésére irányuló kérelemre, amelyet a Fővárosi Törvényszék 2024. október 10-én nyújtott be az előtte folyamatban lévő büntetőeljárással összefüggésben, és amelyet</w:t>
      </w:r>
      <w:r w:rsidR="002A5E1B" w:rsidRPr="00547AE3">
        <w:t xml:space="preserve"> a</w:t>
      </w:r>
      <w:r w:rsidRPr="00547AE3">
        <w:t xml:space="preserve"> 2024. október 22-</w:t>
      </w:r>
      <w:r w:rsidR="002A5E1B" w:rsidRPr="00547AE3">
        <w:t>i</w:t>
      </w:r>
      <w:r w:rsidRPr="00547AE3">
        <w:t xml:space="preserve"> plenáris ülésen jelentettek be,</w:t>
      </w:r>
    </w:p>
    <w:p w14:paraId="05B1F3F7" w14:textId="77777777" w:rsidR="00D83F31" w:rsidRPr="00547AE3" w:rsidRDefault="00D83F31" w:rsidP="006E01AA">
      <w:pPr>
        <w:pStyle w:val="NormalHanging12a"/>
        <w:widowControl/>
      </w:pPr>
      <w:r w:rsidRPr="00547AE3">
        <w:t>–</w:t>
      </w:r>
      <w:r w:rsidRPr="00547AE3">
        <w:tab/>
        <w:t>miután eljárási szabályzata 9. cikke (6) bekezdésének megfelelően 2025. február 13-án meghallgatta Ilaria Salist, és tekintettel az általa az eljárás során benyújtott dokumentumokra,</w:t>
      </w:r>
    </w:p>
    <w:p w14:paraId="16E90B06" w14:textId="77777777" w:rsidR="00D83F31" w:rsidRPr="00547AE3" w:rsidRDefault="00D83F31" w:rsidP="006E01AA">
      <w:pPr>
        <w:pStyle w:val="NormalHanging12a"/>
        <w:widowControl/>
      </w:pPr>
      <w:r w:rsidRPr="00547AE3">
        <w:t>–</w:t>
      </w:r>
      <w:r w:rsidRPr="00547AE3">
        <w:tab/>
        <w:t>tekintettel a Fővárosi Törvényszék által benyújtott kiegészítő információkra,</w:t>
      </w:r>
    </w:p>
    <w:p w14:paraId="055892D1" w14:textId="77777777" w:rsidR="00D83F31" w:rsidRPr="00547AE3" w:rsidRDefault="00D83F31" w:rsidP="006E01AA">
      <w:pPr>
        <w:pStyle w:val="NormalHanging12a"/>
        <w:widowControl/>
      </w:pPr>
      <w:r w:rsidRPr="00547AE3">
        <w:t>–</w:t>
      </w:r>
      <w:r w:rsidRPr="00547AE3">
        <w:tab/>
        <w:t>tekintettel az Európai Unió kiváltságairól és mentességeiről szóló 7. jegyzőkönyv 8. és 9. cikkére, valamint az Európai Parlament képviselőinek közvetlen és általános választójog alapján történő választásáról szóló, 1976. szeptember 20-i okmány 6. cikkének (2) bekezdésére,</w:t>
      </w:r>
    </w:p>
    <w:p w14:paraId="320500CB" w14:textId="77777777" w:rsidR="00D83F31" w:rsidRPr="00547AE3" w:rsidRDefault="00D83F31" w:rsidP="006E01AA">
      <w:pPr>
        <w:pStyle w:val="NormalHanging12a"/>
        <w:widowControl/>
      </w:pPr>
      <w:r w:rsidRPr="00547AE3">
        <w:t>–</w:t>
      </w:r>
      <w:r w:rsidRPr="00547AE3">
        <w:tab/>
        <w:t>tekintettel az Európai Unió Bírósága által 2008. október 21-én, 2010. március 19-én, 2011. szeptember 6-án, 2013. január 17-én, 2019. december 19-én és 2023. július 5-én hozott ítéletekre</w:t>
      </w:r>
      <w:r w:rsidRPr="00547AE3">
        <w:rPr>
          <w:rStyle w:val="FootnoteReference"/>
          <w:color w:val="000000"/>
        </w:rPr>
        <w:footnoteReference w:id="1"/>
      </w:r>
      <w:r w:rsidRPr="00547AE3">
        <w:t>,</w:t>
      </w:r>
    </w:p>
    <w:p w14:paraId="04FC2D50" w14:textId="77777777" w:rsidR="00D83F31" w:rsidRPr="00547AE3" w:rsidRDefault="00D83F31" w:rsidP="006E01AA">
      <w:pPr>
        <w:pStyle w:val="NormalHanging12a"/>
        <w:widowControl/>
      </w:pPr>
      <w:r w:rsidRPr="00547AE3">
        <w:lastRenderedPageBreak/>
        <w:t>–</w:t>
      </w:r>
      <w:r w:rsidRPr="00547AE3">
        <w:tab/>
        <w:t>tekintettel eljárási szabályzata 5. cikkének (2) bekezdésére, 6. cikkének (1) bekezdésére és 9. cikkére,</w:t>
      </w:r>
    </w:p>
    <w:p w14:paraId="59630710" w14:textId="77777777" w:rsidR="00D83F31" w:rsidRPr="00547AE3" w:rsidRDefault="00D83F31" w:rsidP="006E01AA">
      <w:pPr>
        <w:pStyle w:val="NormalHanging12a"/>
        <w:widowControl/>
      </w:pPr>
      <w:r w:rsidRPr="00547AE3">
        <w:t>–</w:t>
      </w:r>
      <w:r w:rsidRPr="00547AE3">
        <w:tab/>
        <w:t>tekintettel a Jogi Bizottság jelentésére (A10-0183/2025),</w:t>
      </w:r>
    </w:p>
    <w:p w14:paraId="4712E913" w14:textId="0CE083F5" w:rsidR="00D83F31" w:rsidRPr="00547AE3" w:rsidRDefault="00D83F31" w:rsidP="006E01AA">
      <w:pPr>
        <w:pStyle w:val="NormalHanging12a"/>
        <w:widowControl/>
      </w:pPr>
      <w:r w:rsidRPr="00547AE3">
        <w:t>A.</w:t>
      </w:r>
      <w:r w:rsidRPr="00547AE3">
        <w:tab/>
        <w:t xml:space="preserve">mivel </w:t>
      </w:r>
      <w:r w:rsidR="006E01AA" w:rsidRPr="00547AE3">
        <w:t xml:space="preserve">2024. október 10-én </w:t>
      </w:r>
      <w:r w:rsidRPr="00547AE3">
        <w:t>a Fővárosi Törvényszék egy előtte folyamatban lévő eljárással összefüggésben kérte Ilaria Salis, Olaszországban megválasztott európai parlamenti képviselő mentelmi jogának felfüggesztését;</w:t>
      </w:r>
    </w:p>
    <w:p w14:paraId="3B8445D6" w14:textId="6919408C" w:rsidR="00D83F31" w:rsidRPr="00547AE3" w:rsidRDefault="00D83F31" w:rsidP="006E01AA">
      <w:pPr>
        <w:pStyle w:val="NormalHanging12a"/>
        <w:widowControl/>
      </w:pPr>
      <w:r w:rsidRPr="00547AE3">
        <w:t>B.</w:t>
      </w:r>
      <w:r w:rsidRPr="00547AE3">
        <w:tab/>
        <w:t xml:space="preserve">mivel a kérelem szerint egy Németországban létrehozott szervezet tagjai 2022-ben elhatározták, hogy erőszakos és összehangolt támadásokat hajtanak végre Budapesten szélsőjobboldali szimpatizánsok vagy ilyennek látszó vagy vélt, azonosítatlan személyek ellen, és e támadásokat 2023. február 11-ére és az azt megelőző és az azt követő napokra időzítették, a „Becsület napja” néven ismert, Budapesten évente megtartott rendezvény időpontjára, amelynek során az ostromlott náci csapatok 1945-ös kitörési kísérletéről emlékeznek meg, és amely egyben az európai neonáci szcéna találkozója; mivel a kérelem szerint Ilaria Salis Magyarországra utazott, hogy részt vegyen ezekben az összehangolt támadásokban, és 2023. február 10-én és 11-én részt is vett azokban; mivel jelentések érkeztek az úgynevezett Becsület napját ünneplő személyek által elkövetett rendbontásokról és erőszakos cselekményekről; mivel a Fővárosi Törvényszék megjegyezte, hogy ennek ellenére nem volt tudomása olyan erőszakos cselekményekről, amelyeket a 2023. évi </w:t>
      </w:r>
      <w:r w:rsidR="00E446D1" w:rsidRPr="00547AE3">
        <w:t xml:space="preserve">úgynevezett </w:t>
      </w:r>
      <w:r w:rsidRPr="00547AE3">
        <w:t>becsület napi megemlékezés résztvevői követtek volna el, és amelyek miatt bármilyen intézkedésre került volna sor</w:t>
      </w:r>
      <w:r w:rsidR="00297188" w:rsidRPr="00547AE3">
        <w:t xml:space="preserve"> ilyen résztvevővel szemben</w:t>
      </w:r>
      <w:r w:rsidRPr="00547AE3">
        <w:t>, kivéve Ilaria Salis és az ügy két másik vádlottja ügyét;</w:t>
      </w:r>
    </w:p>
    <w:p w14:paraId="5C77E49A" w14:textId="77777777" w:rsidR="00D83F31" w:rsidRPr="00547AE3" w:rsidRDefault="00D83F31" w:rsidP="006E01AA">
      <w:pPr>
        <w:pStyle w:val="NormalHanging12a"/>
        <w:widowControl/>
      </w:pPr>
      <w:r w:rsidRPr="00547AE3">
        <w:t>C.</w:t>
      </w:r>
      <w:r w:rsidRPr="00547AE3">
        <w:tab/>
        <w:t>mivel a kérelem szerint Ilaria Salis, az ügy három vádlottjának egyike ellen bűnszervezetben elkövetett három rendbeli, két esetben társtettesként, egy esetben bűnsegédként elkövetett, életveszélyt okozó testi sértés bűntettének kísérlete miatt emeltek vádat a Büntető Törvénykönyvről szóló 2012. évi C. törvény 164. §-a (8) bekezdésének első részével összhangban és a 164. §-ának (1) bekezdésének megsértése miatt; mivel az Ilaria Salis által állítólag elkövetett cselekmények a magyar Büntető Törvénykönyv értelmében bűncselekménynek minősülnek;</w:t>
      </w:r>
    </w:p>
    <w:p w14:paraId="7E89DB2E" w14:textId="64D73BBC" w:rsidR="00D83F31" w:rsidRPr="00547AE3" w:rsidRDefault="00D83F31" w:rsidP="006E01AA">
      <w:pPr>
        <w:pStyle w:val="NormalHanging12a"/>
        <w:widowControl/>
        <w:rPr>
          <w:szCs w:val="24"/>
          <w:shd w:val="clear" w:color="auto" w:fill="FFFFFF"/>
        </w:rPr>
      </w:pPr>
      <w:r w:rsidRPr="00547AE3">
        <w:t>D.</w:t>
      </w:r>
      <w:r w:rsidRPr="00547AE3">
        <w:tab/>
        <w:t>mivel Ilaria Salist a 2024</w:t>
      </w:r>
      <w:r w:rsidR="006E01AA" w:rsidRPr="00547AE3">
        <w:t xml:space="preserve">. júniusi </w:t>
      </w:r>
      <w:r w:rsidRPr="00547AE3">
        <w:t>európai választásokon az Európai Parlament képviselőjévé választották;</w:t>
      </w:r>
    </w:p>
    <w:p w14:paraId="09AA81DB" w14:textId="4BB41A4B" w:rsidR="00D83F31" w:rsidRPr="00547AE3" w:rsidRDefault="00D83F31" w:rsidP="006E01AA">
      <w:pPr>
        <w:pStyle w:val="NormalHanging12a"/>
        <w:widowControl/>
      </w:pPr>
      <w:r w:rsidRPr="00547AE3">
        <w:t>E.</w:t>
      </w:r>
      <w:r w:rsidRPr="00547AE3">
        <w:tab/>
        <w:t>mivel az állítólagos bűncselekmények</w:t>
      </w:r>
      <w:r w:rsidR="00297188" w:rsidRPr="00547AE3">
        <w:t xml:space="preserve"> nem minősülnek</w:t>
      </w:r>
      <w:r w:rsidRPr="00547AE3">
        <w:t xml:space="preserve"> </w:t>
      </w:r>
      <w:r w:rsidR="00297188" w:rsidRPr="00547AE3">
        <w:t xml:space="preserve">az Európai Unió kiváltságairól és mentességeiről szóló 7. jegyzőkönyv 8. cikke értelmében vett feladatai ellátása során Ilaria Salis által kifejtett véleménynek vagy leadott szavazatnak, és az Ilaria Salis </w:t>
      </w:r>
      <w:r w:rsidRPr="00547AE3">
        <w:t>mentelmi jogának felfüggesztésére irányuló kérelem nem kapcsolód</w:t>
      </w:r>
      <w:r w:rsidR="00297188" w:rsidRPr="00547AE3">
        <w:t>ik</w:t>
      </w:r>
      <w:r w:rsidRPr="00547AE3">
        <w:t xml:space="preserve"> </w:t>
      </w:r>
      <w:r w:rsidR="00297188" w:rsidRPr="00547AE3">
        <w:t xml:space="preserve">ilyen </w:t>
      </w:r>
      <w:r w:rsidRPr="00547AE3">
        <w:t>véleményhez vagy leadott szavazathoz;</w:t>
      </w:r>
    </w:p>
    <w:p w14:paraId="6D4451B3" w14:textId="57618FC1" w:rsidR="00D83F31" w:rsidRPr="00547AE3" w:rsidRDefault="00D83F31" w:rsidP="006E01AA">
      <w:pPr>
        <w:pStyle w:val="NormalHanging12a"/>
        <w:widowControl/>
        <w:rPr>
          <w:spacing w:val="-4"/>
        </w:rPr>
      </w:pPr>
      <w:r w:rsidRPr="00547AE3">
        <w:t>F.</w:t>
      </w:r>
      <w:r w:rsidRPr="00547AE3">
        <w:tab/>
        <w:t xml:space="preserve">mivel az Európai Unió kiváltságairól és mentességeiről szóló 7. jegyzőkönyv 9. cikkének első bekezdése szerint az Európai Parlament képviselői saját tagállamuk területén a parlamentjük képviselőire vonatkozó mentességet élvezik, és </w:t>
      </w:r>
      <w:r w:rsidR="00E84C38" w:rsidRPr="00547AE3">
        <w:t>bármely más</w:t>
      </w:r>
      <w:r w:rsidRPr="00547AE3">
        <w:t xml:space="preserve"> tagállam területén mentességet élveznek mindenfajta őrizetbe vételre és bírósági eljárásra irányuló intézkedés alól;</w:t>
      </w:r>
    </w:p>
    <w:p w14:paraId="70FF2122" w14:textId="42AD02BE" w:rsidR="00D83F31" w:rsidRPr="00547AE3" w:rsidRDefault="00D83F31" w:rsidP="006E01AA">
      <w:pPr>
        <w:pStyle w:val="NormalHanging12a"/>
        <w:widowControl/>
      </w:pPr>
      <w:r w:rsidRPr="00547AE3">
        <w:lastRenderedPageBreak/>
        <w:t>G.</w:t>
      </w:r>
      <w:r w:rsidRPr="00547AE3">
        <w:tab/>
        <w:t xml:space="preserve">mivel az Európai Parlament eljárási szabályzata 5. cikkének (2) bekezdésével összhangban a mentelmi jog nem a képviselők személyes kiváltsága, hanem a teljes </w:t>
      </w:r>
      <w:r w:rsidR="006301A0">
        <w:t xml:space="preserve">Európai </w:t>
      </w:r>
      <w:r w:rsidRPr="00547AE3">
        <w:t>Parlament és az egyes képviselők függetlenségének biztosítéka;</w:t>
      </w:r>
    </w:p>
    <w:p w14:paraId="06A6FEC8" w14:textId="77777777" w:rsidR="00D83F31" w:rsidRPr="00547AE3" w:rsidRDefault="00D83F31" w:rsidP="006E01AA">
      <w:pPr>
        <w:pStyle w:val="NormalHanging12a"/>
        <w:widowControl/>
      </w:pPr>
      <w:r w:rsidRPr="00547AE3">
        <w:t>H.</w:t>
      </w:r>
      <w:r w:rsidRPr="00547AE3">
        <w:tab/>
        <w:t>mivel az Európai Unió Bíróságának ítélkezési gyakorlata szerint „a Parlament igen széles körű mérlegelési jogkörrel bír a mentelmi jog felfüggesztésére vagy fenntartására irányuló kérelmet követő határozat tartalmát illetően, azon politikai jelleg folytán, amellyel az ilyen határozat rendelkezik”</w:t>
      </w:r>
      <w:r w:rsidRPr="00547AE3">
        <w:rPr>
          <w:vertAlign w:val="superscript"/>
        </w:rPr>
        <w:footnoteReference w:id="2"/>
      </w:r>
      <w:r w:rsidRPr="00547AE3">
        <w:t>;</w:t>
      </w:r>
    </w:p>
    <w:p w14:paraId="4F88E1A6" w14:textId="77777777" w:rsidR="00D83F31" w:rsidRPr="00547AE3" w:rsidRDefault="00D83F31" w:rsidP="006E01AA">
      <w:pPr>
        <w:pStyle w:val="NormalHanging12a"/>
        <w:widowControl/>
      </w:pPr>
      <w:r w:rsidRPr="00547AE3">
        <w:t>I.</w:t>
      </w:r>
      <w:r w:rsidRPr="00547AE3">
        <w:tab/>
        <w:t>mivel e széles mérlegelési jogkör gyakorlása során a Parlament ebben a konkrét esetben megállapította, hogy Ilaria Salis ellen durva fogvatartási körülményeket és intézkedéseket alkalmaztak az ellene folytatott büntetőeljárás során; mivel úgy tűnik, hogy a Fővárosi Törvényszéknek nincs tudomása olyan erőszakos cselekményekről, amelyeket más résztvevők, különösen a 2023. évi úgynevezett becsület napi megemlékezés valamely résztvevője követett volna el, és amelyek miatt ellenük bármilyen intézkedésre sor került volna; mivel ezért úgy tűnik, hogy kétség merült fel a kapott információkkal kapcsolatban, amelyet nem sikerült eloszlatni;  mivel úgy tűnik, hogy az eljárás és az azt követő kérelem mögöttes célja Ilaria Salis elhallgattatása régóta fennálló politikai véleménye és aktivizmusa miatt – és különösen azért, mert ellenzi a Budapesten engedélyezett éves neonáci megemlékezést –, amelyek európai parlamenti képviselői elkötelezettségének és politikai tevékenységének is alapját képezik;</w:t>
      </w:r>
    </w:p>
    <w:p w14:paraId="51457079" w14:textId="77777777" w:rsidR="00D83F31" w:rsidRPr="00547AE3" w:rsidRDefault="00D83F31" w:rsidP="006E01AA">
      <w:pPr>
        <w:pStyle w:val="NormalHanging12a"/>
        <w:widowControl/>
      </w:pPr>
      <w:r w:rsidRPr="00547AE3">
        <w:t>J.</w:t>
      </w:r>
      <w:r w:rsidRPr="00547AE3">
        <w:tab/>
        <w:t xml:space="preserve">mivel ezért a jelek szerint a jelen ügyben feltételezhető a </w:t>
      </w:r>
      <w:r w:rsidRPr="00547AE3">
        <w:rPr>
          <w:i/>
          <w:iCs/>
        </w:rPr>
        <w:t>fumus persecutionis</w:t>
      </w:r>
      <w:r w:rsidRPr="00547AE3">
        <w:t xml:space="preserve"> fennállása, hiszen „konkrét bizonyítékok”</w:t>
      </w:r>
      <w:r w:rsidRPr="00547AE3">
        <w:rPr>
          <w:vertAlign w:val="superscript"/>
        </w:rPr>
        <w:footnoteReference w:id="3"/>
      </w:r>
      <w:r w:rsidRPr="00547AE3">
        <w:t xml:space="preserve"> utalnak arra, hogy a szóban forgó bírósági eljárást azzal a céllal indították, hogy aláássák Ilaria Salis európai parlamenti képviselőként folytatott politikai tevékenységét;</w:t>
      </w:r>
    </w:p>
    <w:p w14:paraId="6FF8C39F" w14:textId="7F833D6A" w:rsidR="00D83F31" w:rsidRPr="00547AE3" w:rsidRDefault="00D83F31" w:rsidP="006E01AA">
      <w:pPr>
        <w:pStyle w:val="NormalHanging12a"/>
        <w:widowControl/>
      </w:pPr>
      <w:r w:rsidRPr="00547AE3">
        <w:t>K.</w:t>
      </w:r>
      <w:r w:rsidRPr="00547AE3">
        <w:tab/>
        <w:t>mivel a Parlament nem töltheti be bíróság szerepét, és mivel a mentelmi jog felfüggesztésére irányuló eljárásban az érintett képviselő nem tekinthető vádlottnak</w:t>
      </w:r>
      <w:r w:rsidRPr="00547AE3">
        <w:rPr>
          <w:rStyle w:val="FootnoteReference"/>
          <w:color w:val="000000"/>
        </w:rPr>
        <w:footnoteReference w:id="4"/>
      </w:r>
      <w:r w:rsidRPr="00547AE3">
        <w:t>;</w:t>
      </w:r>
    </w:p>
    <w:p w14:paraId="357599A8" w14:textId="77777777" w:rsidR="00D83F31" w:rsidRPr="00547AE3" w:rsidRDefault="00D83F31" w:rsidP="006E01AA">
      <w:pPr>
        <w:pStyle w:val="NormalHanging12a"/>
        <w:widowControl/>
      </w:pPr>
      <w:r w:rsidRPr="00547AE3">
        <w:t>1.</w:t>
      </w:r>
      <w:r w:rsidRPr="00547AE3">
        <w:tab/>
        <w:t>úgy határoz, hogy nem függeszti fel Ilaria Salis mentelmi jogát;</w:t>
      </w:r>
    </w:p>
    <w:p w14:paraId="16462A6E" w14:textId="0265F93B" w:rsidR="00E365E1" w:rsidRPr="00547AE3" w:rsidRDefault="00D83F31" w:rsidP="006E01AA">
      <w:pPr>
        <w:widowControl/>
        <w:spacing w:after="240"/>
        <w:ind w:left="567" w:hanging="567"/>
      </w:pPr>
      <w:r w:rsidRPr="00547AE3">
        <w:t>2.</w:t>
      </w:r>
      <w:r w:rsidRPr="00547AE3">
        <w:tab/>
        <w:t>utasítja elnökét, hogy haladéktalanul továbbítsa ezt a határozatot és az illetékes bizottság jelentését Magyarország illetékes hatóságának és Ilaria Salisnak.</w:t>
      </w:r>
    </w:p>
    <w:sectPr w:rsidR="00E365E1" w:rsidRPr="00547AE3" w:rsidSect="009928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AF9DB" w14:textId="77777777" w:rsidR="00CF7FD2" w:rsidRPr="0099281C" w:rsidRDefault="00CF7FD2">
      <w:r w:rsidRPr="0099281C">
        <w:separator/>
      </w:r>
    </w:p>
  </w:endnote>
  <w:endnote w:type="continuationSeparator" w:id="0">
    <w:p w14:paraId="2FA4B580" w14:textId="77777777" w:rsidR="00CF7FD2" w:rsidRPr="0099281C" w:rsidRDefault="00CF7FD2">
      <w:r w:rsidRPr="009928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85C8F" w14:textId="77777777" w:rsidR="00064002" w:rsidRPr="009928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EB05A" w14:textId="77777777" w:rsidR="00064002" w:rsidRPr="009928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71B43" w14:textId="77777777" w:rsidR="00064002" w:rsidRPr="009928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7644C" w14:textId="77777777" w:rsidR="00CF7FD2" w:rsidRPr="0099281C" w:rsidRDefault="00CF7FD2">
      <w:r w:rsidRPr="0099281C">
        <w:separator/>
      </w:r>
    </w:p>
  </w:footnote>
  <w:footnote w:type="continuationSeparator" w:id="0">
    <w:p w14:paraId="05E62A9F" w14:textId="77777777" w:rsidR="00CF7FD2" w:rsidRPr="0099281C" w:rsidRDefault="00CF7FD2">
      <w:r w:rsidRPr="0099281C">
        <w:continuationSeparator/>
      </w:r>
    </w:p>
  </w:footnote>
  <w:footnote w:id="1">
    <w:p w14:paraId="0E2F9711" w14:textId="32D7DDF5" w:rsidR="00D83F31" w:rsidRPr="009C6809" w:rsidRDefault="00D83F31" w:rsidP="0099281C">
      <w:pPr>
        <w:pStyle w:val="FootnoteText"/>
        <w:ind w:left="567" w:hanging="567"/>
        <w:rPr>
          <w:sz w:val="24"/>
          <w:lang w:val="hu-HU"/>
        </w:rPr>
      </w:pPr>
      <w:r w:rsidRPr="0099281C">
        <w:rPr>
          <w:rStyle w:val="FootnoteReference"/>
          <w:sz w:val="24"/>
          <w:lang w:val="hu-HU"/>
        </w:rPr>
        <w:footnoteRef/>
      </w:r>
      <w:r w:rsidR="0099281C" w:rsidRPr="0099281C">
        <w:rPr>
          <w:sz w:val="24"/>
          <w:lang w:val="hu-HU"/>
        </w:rPr>
        <w:t xml:space="preserve"> </w:t>
      </w:r>
      <w:r w:rsidR="0099281C" w:rsidRPr="0099281C">
        <w:rPr>
          <w:sz w:val="24"/>
          <w:lang w:val="hu-HU"/>
        </w:rPr>
        <w:tab/>
      </w:r>
      <w:r w:rsidRPr="009C6809">
        <w:rPr>
          <w:sz w:val="24"/>
          <w:lang w:val="hu-HU"/>
        </w:rPr>
        <w:t>A Bíróság 2008. október 21-i ítélete, Marra kontra De Gregorio és Clemente, C-200/07 és C-201/07, ECLI:EU:C:2008:579; a Törvényszék 2010. március 19-i ítélete, Gollnisch kontra Parlament, T-42/06, ECLI:EU:T:2010:102; a Bíróság 2011. szeptember 6-i ítélete, Patriciello, C 163/10, ECLI: EU:C:2011:543; a Törvényszék 2013. január 17-i ítélete, Gollnisch kontra Európai Parlament, T-346/11 és T-347/11, ECLI:EU:T:2013:23; a Bíróság 2019. december 19-i ítélete, Junqueras Vies, C-502/19, ECLI:EU:C:2019:1115; a Törvényszék 2023. július 5-i ítélete, Puigdemont i Casamajó és társai kontra Európai Parlament, T-272/21, ECLI:EU:T:2023:373.</w:t>
      </w:r>
    </w:p>
  </w:footnote>
  <w:footnote w:id="2">
    <w:p w14:paraId="52C32BBC" w14:textId="046D828F" w:rsidR="00D83F31" w:rsidRPr="009C6809" w:rsidRDefault="00D83F31" w:rsidP="0099281C">
      <w:pPr>
        <w:pStyle w:val="FootnoteText"/>
        <w:ind w:left="567" w:hanging="567"/>
        <w:rPr>
          <w:sz w:val="24"/>
          <w:lang w:val="hu-HU"/>
        </w:rPr>
      </w:pPr>
      <w:r w:rsidRPr="0099281C">
        <w:rPr>
          <w:rStyle w:val="FootnoteReference"/>
          <w:sz w:val="24"/>
          <w:lang w:val="hu-HU"/>
        </w:rPr>
        <w:footnoteRef/>
      </w:r>
      <w:r w:rsidR="0099281C" w:rsidRPr="0099281C">
        <w:rPr>
          <w:sz w:val="24"/>
          <w:lang w:val="hu-HU"/>
        </w:rPr>
        <w:t xml:space="preserve"> </w:t>
      </w:r>
      <w:r w:rsidR="0099281C" w:rsidRPr="009C6809">
        <w:rPr>
          <w:sz w:val="24"/>
          <w:lang w:val="hu-HU"/>
        </w:rPr>
        <w:tab/>
      </w:r>
      <w:r w:rsidRPr="009C6809">
        <w:rPr>
          <w:sz w:val="24"/>
          <w:lang w:val="hu-HU"/>
        </w:rPr>
        <w:t>A Törvényszék 2013. január 17-i ítélete, Gollnisch kontra Európai Parlament, T-346/11 és T-347/11, ECLI:</w:t>
      </w:r>
      <w:proofErr w:type="gramStart"/>
      <w:r w:rsidRPr="009C6809">
        <w:rPr>
          <w:sz w:val="24"/>
          <w:lang w:val="hu-HU"/>
        </w:rPr>
        <w:t>EU:T</w:t>
      </w:r>
      <w:proofErr w:type="gramEnd"/>
      <w:r w:rsidRPr="009C6809">
        <w:rPr>
          <w:sz w:val="24"/>
          <w:lang w:val="hu-HU"/>
        </w:rPr>
        <w:t>:2013:23, 59. pont, valamint a hivatkozott ítélkezési gyakorlat.</w:t>
      </w:r>
    </w:p>
  </w:footnote>
  <w:footnote w:id="3">
    <w:p w14:paraId="2471ACDB" w14:textId="577280E0" w:rsidR="00D83F31" w:rsidRPr="009C6809" w:rsidRDefault="00D83F31" w:rsidP="0099281C">
      <w:pPr>
        <w:pStyle w:val="FootnoteText"/>
        <w:ind w:left="567" w:hanging="567"/>
        <w:rPr>
          <w:sz w:val="24"/>
          <w:lang w:val="hu-HU"/>
        </w:rPr>
      </w:pPr>
      <w:r w:rsidRPr="009C6809">
        <w:rPr>
          <w:rStyle w:val="FootnoteReference"/>
          <w:sz w:val="24"/>
          <w:lang w:val="hu-HU"/>
        </w:rPr>
        <w:footnoteRef/>
      </w:r>
      <w:r w:rsidR="0099281C" w:rsidRPr="009C6809">
        <w:rPr>
          <w:sz w:val="24"/>
          <w:lang w:val="hu-HU"/>
        </w:rPr>
        <w:t xml:space="preserve"> </w:t>
      </w:r>
      <w:r w:rsidR="0099281C" w:rsidRPr="009C6809">
        <w:rPr>
          <w:sz w:val="24"/>
          <w:lang w:val="hu-HU"/>
        </w:rPr>
        <w:tab/>
      </w:r>
      <w:r w:rsidRPr="009C6809">
        <w:rPr>
          <w:sz w:val="24"/>
          <w:lang w:val="hu-HU"/>
        </w:rPr>
        <w:t>A Bíróság C-12/19 P. sz., Troszczynski kontra Európai Parlament ügyben 2020. szeptember 17-én hozott ítélete, ECLI:EU:C:2019:725, 26. pont.</w:t>
      </w:r>
    </w:p>
  </w:footnote>
  <w:footnote w:id="4">
    <w:p w14:paraId="38011411" w14:textId="0F0F7C1B" w:rsidR="00D83F31" w:rsidRPr="009C6809" w:rsidRDefault="00D83F31" w:rsidP="0099281C">
      <w:pPr>
        <w:pStyle w:val="FootnoteText"/>
        <w:ind w:left="567" w:hanging="567"/>
        <w:rPr>
          <w:sz w:val="24"/>
          <w:lang w:val="hu-HU"/>
        </w:rPr>
      </w:pPr>
      <w:r w:rsidRPr="009C6809">
        <w:rPr>
          <w:rStyle w:val="FootnoteReference"/>
          <w:sz w:val="24"/>
          <w:lang w:val="hu-HU"/>
        </w:rPr>
        <w:footnoteRef/>
      </w:r>
      <w:r w:rsidR="0099281C" w:rsidRPr="009C6809">
        <w:rPr>
          <w:sz w:val="24"/>
          <w:lang w:val="hu-HU"/>
        </w:rPr>
        <w:t xml:space="preserve"> </w:t>
      </w:r>
      <w:r w:rsidR="0099281C" w:rsidRPr="009C6809">
        <w:rPr>
          <w:sz w:val="24"/>
          <w:lang w:val="hu-HU"/>
        </w:rPr>
        <w:tab/>
      </w:r>
      <w:r w:rsidRPr="009C6809">
        <w:rPr>
          <w:sz w:val="24"/>
          <w:lang w:val="hu-HU"/>
        </w:rPr>
        <w:t>A Törvényszék 2019. április 30-i Briois kontra Európai Parlament ítélete, T-214/18, ECLI:</w:t>
      </w:r>
      <w:proofErr w:type="gramStart"/>
      <w:r w:rsidRPr="009C6809">
        <w:rPr>
          <w:sz w:val="24"/>
          <w:lang w:val="hu-HU"/>
        </w:rPr>
        <w:t>EU:T</w:t>
      </w:r>
      <w:proofErr w:type="gramEnd"/>
      <w:r w:rsidRPr="009C6809">
        <w:rPr>
          <w:sz w:val="24"/>
          <w:lang w:val="hu-HU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AB39F" w14:textId="77777777" w:rsidR="00064002" w:rsidRPr="009928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8C1CE" w14:textId="77777777" w:rsidR="00064002" w:rsidRPr="009928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E037" w14:textId="77777777" w:rsidR="00064002" w:rsidRPr="009928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3604783">
    <w:abstractNumId w:val="9"/>
  </w:num>
  <w:num w:numId="2" w16cid:durableId="1409182900">
    <w:abstractNumId w:val="9"/>
  </w:num>
  <w:num w:numId="3" w16cid:durableId="223376825">
    <w:abstractNumId w:val="7"/>
  </w:num>
  <w:num w:numId="4" w16cid:durableId="2061246943">
    <w:abstractNumId w:val="7"/>
  </w:num>
  <w:num w:numId="5" w16cid:durableId="238637635">
    <w:abstractNumId w:val="6"/>
  </w:num>
  <w:num w:numId="6" w16cid:durableId="1003438357">
    <w:abstractNumId w:val="6"/>
  </w:num>
  <w:num w:numId="7" w16cid:durableId="1588078214">
    <w:abstractNumId w:val="5"/>
  </w:num>
  <w:num w:numId="8" w16cid:durableId="790175418">
    <w:abstractNumId w:val="5"/>
  </w:num>
  <w:num w:numId="9" w16cid:durableId="594096678">
    <w:abstractNumId w:val="4"/>
  </w:num>
  <w:num w:numId="10" w16cid:durableId="886994226">
    <w:abstractNumId w:val="4"/>
  </w:num>
  <w:num w:numId="11" w16cid:durableId="152918445">
    <w:abstractNumId w:val="8"/>
  </w:num>
  <w:num w:numId="12" w16cid:durableId="1888564950">
    <w:abstractNumId w:val="8"/>
  </w:num>
  <w:num w:numId="13" w16cid:durableId="755593845">
    <w:abstractNumId w:val="3"/>
  </w:num>
  <w:num w:numId="14" w16cid:durableId="890578713">
    <w:abstractNumId w:val="3"/>
  </w:num>
  <w:num w:numId="15" w16cid:durableId="477263576">
    <w:abstractNumId w:val="2"/>
  </w:num>
  <w:num w:numId="16" w16cid:durableId="1179462503">
    <w:abstractNumId w:val="2"/>
  </w:num>
  <w:num w:numId="17" w16cid:durableId="208034096">
    <w:abstractNumId w:val="1"/>
  </w:num>
  <w:num w:numId="18" w16cid:durableId="632715810">
    <w:abstractNumId w:val="1"/>
  </w:num>
  <w:num w:numId="19" w16cid:durableId="141624645">
    <w:abstractNumId w:val="0"/>
  </w:num>
  <w:num w:numId="20" w16cid:durableId="1508985161">
    <w:abstractNumId w:val="0"/>
  </w:num>
  <w:num w:numId="21" w16cid:durableId="161773482">
    <w:abstractNumId w:val="9"/>
  </w:num>
  <w:num w:numId="22" w16cid:durableId="1766195362">
    <w:abstractNumId w:val="7"/>
  </w:num>
  <w:num w:numId="23" w16cid:durableId="270094655">
    <w:abstractNumId w:val="6"/>
  </w:num>
  <w:num w:numId="24" w16cid:durableId="1039550618">
    <w:abstractNumId w:val="5"/>
  </w:num>
  <w:num w:numId="25" w16cid:durableId="1096943681">
    <w:abstractNumId w:val="4"/>
  </w:num>
  <w:num w:numId="26" w16cid:durableId="417363304">
    <w:abstractNumId w:val="8"/>
  </w:num>
  <w:num w:numId="27" w16cid:durableId="1009914258">
    <w:abstractNumId w:val="3"/>
  </w:num>
  <w:num w:numId="28" w16cid:durableId="609355896">
    <w:abstractNumId w:val="2"/>
  </w:num>
  <w:num w:numId="29" w16cid:durableId="899287227">
    <w:abstractNumId w:val="1"/>
  </w:num>
  <w:num w:numId="30" w16cid:durableId="773596314">
    <w:abstractNumId w:val="0"/>
  </w:num>
  <w:num w:numId="31" w16cid:durableId="1462842886">
    <w:abstractNumId w:val="9"/>
  </w:num>
  <w:num w:numId="32" w16cid:durableId="2012826380">
    <w:abstractNumId w:val="7"/>
  </w:num>
  <w:num w:numId="33" w16cid:durableId="1965916151">
    <w:abstractNumId w:val="6"/>
  </w:num>
  <w:num w:numId="34" w16cid:durableId="1279490590">
    <w:abstractNumId w:val="5"/>
  </w:num>
  <w:num w:numId="35" w16cid:durableId="896553132">
    <w:abstractNumId w:val="4"/>
  </w:num>
  <w:num w:numId="36" w16cid:durableId="518130573">
    <w:abstractNumId w:val="8"/>
  </w:num>
  <w:num w:numId="37" w16cid:durableId="1203591692">
    <w:abstractNumId w:val="3"/>
  </w:num>
  <w:num w:numId="38" w16cid:durableId="1835409512">
    <w:abstractNumId w:val="2"/>
  </w:num>
  <w:num w:numId="39" w16cid:durableId="373819414">
    <w:abstractNumId w:val="1"/>
  </w:num>
  <w:num w:numId="40" w16cid:durableId="1091395687">
    <w:abstractNumId w:val="0"/>
  </w:num>
  <w:num w:numId="41" w16cid:durableId="182477390">
    <w:abstractNumId w:val="10"/>
  </w:num>
  <w:num w:numId="42" w16cid:durableId="1659456510">
    <w:abstractNumId w:val="10"/>
  </w:num>
  <w:num w:numId="43" w16cid:durableId="1898318133">
    <w:abstractNumId w:val="10"/>
  </w:num>
  <w:num w:numId="44" w16cid:durableId="13679476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3/2025"/>
    <w:docVar w:name="dvlangue" w:val="HU"/>
    <w:docVar w:name="dvnumam" w:val="0"/>
    <w:docVar w:name="dvpe" w:val="774.380"/>
    <w:docVar w:name="dvrapporteur" w:val="Előadó: "/>
    <w:docVar w:name="dvtitre" w:val="Az Európai Parlament 2025.  ...-i határozata az Ilaria Salis mentelmi jogának felfüggesztésére irányuló kérelemről(2024/2086(IMM))"/>
  </w:docVars>
  <w:rsids>
    <w:rsidRoot w:val="00CF7FD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5A52"/>
    <w:rsid w:val="00297188"/>
    <w:rsid w:val="002A5E1B"/>
    <w:rsid w:val="002B18FE"/>
    <w:rsid w:val="002B5493"/>
    <w:rsid w:val="00343214"/>
    <w:rsid w:val="00361C00"/>
    <w:rsid w:val="003804C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AE3"/>
    <w:rsid w:val="00560270"/>
    <w:rsid w:val="00561DE4"/>
    <w:rsid w:val="005C2568"/>
    <w:rsid w:val="005F1B17"/>
    <w:rsid w:val="006037C0"/>
    <w:rsid w:val="006301A0"/>
    <w:rsid w:val="006631B6"/>
    <w:rsid w:val="00680577"/>
    <w:rsid w:val="006E01A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DFB"/>
    <w:rsid w:val="00817416"/>
    <w:rsid w:val="00842779"/>
    <w:rsid w:val="00845B00"/>
    <w:rsid w:val="00865F67"/>
    <w:rsid w:val="00881A7B"/>
    <w:rsid w:val="008840E5"/>
    <w:rsid w:val="00887B3E"/>
    <w:rsid w:val="008C2AC6"/>
    <w:rsid w:val="008D2067"/>
    <w:rsid w:val="00930C23"/>
    <w:rsid w:val="0093193B"/>
    <w:rsid w:val="009509D8"/>
    <w:rsid w:val="00950B64"/>
    <w:rsid w:val="00981893"/>
    <w:rsid w:val="0099281C"/>
    <w:rsid w:val="009C6809"/>
    <w:rsid w:val="009F4B6C"/>
    <w:rsid w:val="00A1687D"/>
    <w:rsid w:val="00A43E52"/>
    <w:rsid w:val="00A4678D"/>
    <w:rsid w:val="00A778C7"/>
    <w:rsid w:val="00AB441E"/>
    <w:rsid w:val="00AB6293"/>
    <w:rsid w:val="00AE0928"/>
    <w:rsid w:val="00AE6694"/>
    <w:rsid w:val="00AF3B82"/>
    <w:rsid w:val="00B12E95"/>
    <w:rsid w:val="00B16D18"/>
    <w:rsid w:val="00B22876"/>
    <w:rsid w:val="00B558F0"/>
    <w:rsid w:val="00B82367"/>
    <w:rsid w:val="00BD48FE"/>
    <w:rsid w:val="00BD7BD8"/>
    <w:rsid w:val="00BE6ADC"/>
    <w:rsid w:val="00C05BFE"/>
    <w:rsid w:val="00C23CD4"/>
    <w:rsid w:val="00C242E0"/>
    <w:rsid w:val="00C61C0C"/>
    <w:rsid w:val="00C941CB"/>
    <w:rsid w:val="00C95E90"/>
    <w:rsid w:val="00CC2357"/>
    <w:rsid w:val="00CF071A"/>
    <w:rsid w:val="00CF23FC"/>
    <w:rsid w:val="00CF7FD2"/>
    <w:rsid w:val="00D036C8"/>
    <w:rsid w:val="00D058B8"/>
    <w:rsid w:val="00D56C11"/>
    <w:rsid w:val="00D834A0"/>
    <w:rsid w:val="00D83F31"/>
    <w:rsid w:val="00D872DF"/>
    <w:rsid w:val="00D91E21"/>
    <w:rsid w:val="00DA7FCD"/>
    <w:rsid w:val="00DD1676"/>
    <w:rsid w:val="00E365E1"/>
    <w:rsid w:val="00E446D1"/>
    <w:rsid w:val="00E820A4"/>
    <w:rsid w:val="00E84C3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36714"/>
  <w15:chartTrackingRefBased/>
  <w15:docId w15:val="{9297374E-BCD4-4B0F-A27C-1F75E6A0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83F31"/>
    <w:pPr>
      <w:spacing w:after="240"/>
      <w:ind w:left="567" w:hanging="567"/>
    </w:pPr>
  </w:style>
  <w:style w:type="paragraph" w:customStyle="1" w:styleId="EPComma">
    <w:name w:val="EPComma"/>
    <w:basedOn w:val="Normal"/>
    <w:rsid w:val="00D83F31"/>
    <w:pPr>
      <w:spacing w:before="480" w:after="240"/>
    </w:pPr>
  </w:style>
  <w:style w:type="paragraph" w:styleId="Revision">
    <w:name w:val="Revision"/>
    <w:hidden/>
    <w:uiPriority w:val="99"/>
    <w:semiHidden/>
    <w:rsid w:val="006E01AA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837</Words>
  <Characters>5815</Characters>
  <Application>Microsoft Office Word</Application>
  <DocSecurity>0</DocSecurity>
  <Lines>232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relec</dc:creator>
  <cp:keywords/>
  <cp:lastModifiedBy>KOVACS-BOKOR Karoly</cp:lastModifiedBy>
  <cp:revision>2</cp:revision>
  <cp:lastPrinted>2004-11-19T15:42:00Z</cp:lastPrinted>
  <dcterms:created xsi:type="dcterms:W3CDTF">2025-11-12T15:03:00Z</dcterms:created>
  <dcterms:modified xsi:type="dcterms:W3CDTF">2025-11-12T15:03:00Z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P10_TA(2025)0206_</vt:lpwstr>
  </property>
  <property fmtid="{D5CDD505-2E9C-101B-9397-08002B2CF9AE}" pid="4" name="&lt;Type&gt;">
    <vt:lpwstr>RR</vt:lpwstr>
  </property>
</Properties>
</file>