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041C" w14:paraId="41EFCA92" w14:textId="77777777" w:rsidTr="0010095E">
        <w:trPr>
          <w:trHeight w:hRule="exact" w:val="1418"/>
        </w:trPr>
        <w:tc>
          <w:tcPr>
            <w:tcW w:w="6804" w:type="dxa"/>
            <w:shd w:val="clear" w:color="auto" w:fill="auto"/>
            <w:vAlign w:val="center"/>
          </w:tcPr>
          <w:p w14:paraId="70E5ED1A" w14:textId="77777777" w:rsidR="00751A4A" w:rsidRPr="00CE041C" w:rsidRDefault="002011AB" w:rsidP="0010095E">
            <w:pPr>
              <w:pStyle w:val="EPName"/>
            </w:pPr>
            <w:r w:rsidRPr="00CE041C">
              <w:t>Eiropas Parlaments</w:t>
            </w:r>
          </w:p>
          <w:p w14:paraId="3FC5E912" w14:textId="77777777" w:rsidR="00751A4A" w:rsidRPr="00CE041C" w:rsidRDefault="005F1B17" w:rsidP="005F1B17">
            <w:pPr>
              <w:pStyle w:val="EPTerm"/>
              <w:rPr>
                <w:rStyle w:val="HideTWBExt"/>
                <w:noProof w:val="0"/>
                <w:vanish w:val="0"/>
                <w:color w:val="auto"/>
              </w:rPr>
            </w:pPr>
            <w:r w:rsidRPr="00CE041C">
              <w:t>2024</w:t>
            </w:r>
            <w:r w:rsidR="00817416" w:rsidRPr="00CE041C">
              <w:t>-202</w:t>
            </w:r>
            <w:r w:rsidRPr="00CE041C">
              <w:t>9</w:t>
            </w:r>
          </w:p>
        </w:tc>
        <w:tc>
          <w:tcPr>
            <w:tcW w:w="2268" w:type="dxa"/>
            <w:shd w:val="clear" w:color="auto" w:fill="auto"/>
          </w:tcPr>
          <w:p w14:paraId="268B1D4D" w14:textId="77777777" w:rsidR="00751A4A" w:rsidRPr="00CE041C" w:rsidRDefault="00187494" w:rsidP="0010095E">
            <w:pPr>
              <w:pStyle w:val="EPLogo"/>
            </w:pPr>
            <w:r w:rsidRPr="00CE041C">
              <w:rPr>
                <w:noProof/>
                <w:lang w:eastAsia="ja-JP"/>
              </w:rPr>
              <w:drawing>
                <wp:inline distT="0" distB="0" distL="0" distR="0" wp14:anchorId="7CEC6B45" wp14:editId="14DC3F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B1457" w14:textId="77777777" w:rsidR="00D058B8" w:rsidRPr="00CE041C" w:rsidRDefault="00D058B8" w:rsidP="004C5D52">
      <w:pPr>
        <w:pStyle w:val="LineTop"/>
      </w:pPr>
    </w:p>
    <w:p w14:paraId="20880428" w14:textId="77777777" w:rsidR="00680577" w:rsidRPr="00CE041C" w:rsidRDefault="002011AB" w:rsidP="00680577">
      <w:pPr>
        <w:pStyle w:val="EPBodyTA1"/>
      </w:pPr>
      <w:r w:rsidRPr="00CE041C">
        <w:t>PIEŅEMTIE TEKSTI</w:t>
      </w:r>
    </w:p>
    <w:p w14:paraId="1D142F00" w14:textId="77777777" w:rsidR="00D058B8" w:rsidRPr="00CE041C" w:rsidRDefault="00D058B8" w:rsidP="00D058B8">
      <w:pPr>
        <w:pStyle w:val="LineBottom"/>
      </w:pPr>
    </w:p>
    <w:p w14:paraId="2A5BDCE2" w14:textId="18767E22" w:rsidR="002011AB" w:rsidRPr="00CE041C" w:rsidRDefault="002011AB" w:rsidP="002011AB">
      <w:pPr>
        <w:pStyle w:val="ATHeading1"/>
      </w:pPr>
      <w:bookmarkStart w:id="0" w:name="TANumber"/>
      <w:r w:rsidRPr="00CE041C">
        <w:t>P10_TA(2025)0</w:t>
      </w:r>
      <w:bookmarkEnd w:id="0"/>
      <w:r w:rsidR="00CE041C" w:rsidRPr="00CE041C">
        <w:t>206</w:t>
      </w:r>
    </w:p>
    <w:p w14:paraId="21358153" w14:textId="77777777" w:rsidR="002011AB" w:rsidRPr="00CE041C" w:rsidRDefault="002011AB" w:rsidP="002011AB">
      <w:pPr>
        <w:pStyle w:val="ATHeading2"/>
      </w:pPr>
      <w:bookmarkStart w:id="1" w:name="title"/>
      <w:r w:rsidRPr="00CE041C">
        <w:t xml:space="preserve">Pieprasījums atcelt </w:t>
      </w:r>
      <w:r w:rsidRPr="00CE041C">
        <w:rPr>
          <w:i/>
          <w:iCs/>
        </w:rPr>
        <w:t>Ilaria Salis</w:t>
      </w:r>
      <w:r w:rsidRPr="00CE041C">
        <w:t xml:space="preserve"> imunitāti</w:t>
      </w:r>
      <w:bookmarkEnd w:id="1"/>
    </w:p>
    <w:p w14:paraId="1CAF21F9" w14:textId="77777777" w:rsidR="002011AB" w:rsidRPr="00CE041C" w:rsidRDefault="002011AB" w:rsidP="002011AB">
      <w:pPr>
        <w:rPr>
          <w:i/>
          <w:vanish/>
        </w:rPr>
      </w:pPr>
      <w:r w:rsidRPr="00CE041C">
        <w:rPr>
          <w:i/>
        </w:rPr>
        <w:fldChar w:fldCharType="begin"/>
      </w:r>
      <w:r w:rsidRPr="00CE041C">
        <w:rPr>
          <w:i/>
        </w:rPr>
        <w:instrText xml:space="preserve"> TC"(</w:instrText>
      </w:r>
      <w:bookmarkStart w:id="2" w:name="DocNumber"/>
      <w:r w:rsidRPr="00CE041C">
        <w:rPr>
          <w:i/>
        </w:rPr>
        <w:instrText>A10-0183/2025</w:instrText>
      </w:r>
      <w:bookmarkEnd w:id="2"/>
      <w:r w:rsidRPr="00CE041C">
        <w:rPr>
          <w:i/>
        </w:rPr>
        <w:instrText xml:space="preserve"> - Referents: Ilhan Kyuchyuk)"\l3 \n&gt; \* MERGEFORMAT </w:instrText>
      </w:r>
      <w:r w:rsidRPr="00CE041C">
        <w:rPr>
          <w:i/>
        </w:rPr>
        <w:fldChar w:fldCharType="end"/>
      </w:r>
    </w:p>
    <w:p w14:paraId="05B7189D" w14:textId="77777777" w:rsidR="002011AB" w:rsidRPr="00CE041C" w:rsidRDefault="002011AB" w:rsidP="002011AB">
      <w:pPr>
        <w:rPr>
          <w:vanish/>
        </w:rPr>
      </w:pPr>
      <w:bookmarkStart w:id="3" w:name="Commission"/>
      <w:r w:rsidRPr="00CE041C">
        <w:rPr>
          <w:vanish/>
        </w:rPr>
        <w:t>Juridiskā komiteja</w:t>
      </w:r>
      <w:bookmarkEnd w:id="3"/>
    </w:p>
    <w:p w14:paraId="5C37F9A1" w14:textId="77777777" w:rsidR="002011AB" w:rsidRPr="00CE041C" w:rsidRDefault="002011AB" w:rsidP="002011AB">
      <w:pPr>
        <w:rPr>
          <w:vanish/>
        </w:rPr>
      </w:pPr>
      <w:bookmarkStart w:id="4" w:name="PE"/>
      <w:r w:rsidRPr="00CE041C">
        <w:rPr>
          <w:vanish/>
        </w:rPr>
        <w:t>PE774.380</w:t>
      </w:r>
      <w:bookmarkEnd w:id="4"/>
    </w:p>
    <w:p w14:paraId="3A7705CC" w14:textId="1331E3E6" w:rsidR="00C65239" w:rsidRPr="00CE041C" w:rsidRDefault="002011AB" w:rsidP="004D0946">
      <w:pPr>
        <w:pStyle w:val="ATHeading3"/>
      </w:pPr>
      <w:bookmarkStart w:id="5" w:name="Sujet"/>
      <w:r w:rsidRPr="00CE041C">
        <w:t xml:space="preserve">Eiropas Parlamenta 2025. gada </w:t>
      </w:r>
      <w:r w:rsidR="004D0946" w:rsidRPr="00CE041C">
        <w:t>7</w:t>
      </w:r>
      <w:r w:rsidRPr="00CE041C">
        <w:t xml:space="preserve">. </w:t>
      </w:r>
      <w:r w:rsidR="004D0946" w:rsidRPr="00CE041C">
        <w:t>oktobra</w:t>
      </w:r>
      <w:r w:rsidRPr="00CE041C">
        <w:t xml:space="preserve"> </w:t>
      </w:r>
      <w:r w:rsidR="00323262" w:rsidRPr="00CE041C">
        <w:t xml:space="preserve">lēmums </w:t>
      </w:r>
      <w:r w:rsidRPr="00CE041C">
        <w:t xml:space="preserve">par pieprasījumu atcelt </w:t>
      </w:r>
      <w:r w:rsidRPr="00CE041C">
        <w:rPr>
          <w:i/>
          <w:iCs/>
        </w:rPr>
        <w:t>Ilaria Salis</w:t>
      </w:r>
      <w:r w:rsidRPr="00CE041C">
        <w:t xml:space="preserve"> imunitāti</w:t>
      </w:r>
      <w:bookmarkEnd w:id="5"/>
      <w:r w:rsidRPr="00CE041C">
        <w:t xml:space="preserve"> </w:t>
      </w:r>
      <w:bookmarkStart w:id="6" w:name="References"/>
      <w:r w:rsidRPr="00CE041C">
        <w:t>(2024/2086(IMM))</w:t>
      </w:r>
      <w:bookmarkStart w:id="7" w:name="TextBodyBegin"/>
      <w:bookmarkEnd w:id="6"/>
      <w:bookmarkEnd w:id="7"/>
    </w:p>
    <w:p w14:paraId="03263695" w14:textId="77777777" w:rsidR="00C65239" w:rsidRPr="00CE041C" w:rsidRDefault="00C65239" w:rsidP="00C65239">
      <w:pPr>
        <w:pStyle w:val="EPComma"/>
      </w:pPr>
      <w:r w:rsidRPr="00CE041C">
        <w:rPr>
          <w:i/>
        </w:rPr>
        <w:t>Eiropas Parlaments</w:t>
      </w:r>
      <w:r w:rsidRPr="00CE041C">
        <w:t>,</w:t>
      </w:r>
    </w:p>
    <w:p w14:paraId="6C08B2F1" w14:textId="51E64B53" w:rsidR="00C65239" w:rsidRPr="00CE041C" w:rsidRDefault="00C65239" w:rsidP="00C65239">
      <w:pPr>
        <w:pStyle w:val="NormalHanging12a"/>
      </w:pPr>
      <w:r w:rsidRPr="00CE041C">
        <w:t>–</w:t>
      </w:r>
      <w:r w:rsidRPr="00CE041C">
        <w:tab/>
        <w:t xml:space="preserve">ņemot vērā </w:t>
      </w:r>
      <w:r w:rsidR="00323262" w:rsidRPr="00CE041C">
        <w:t xml:space="preserve">2024. gada 10. oktobra </w:t>
      </w:r>
      <w:r w:rsidRPr="00CE041C">
        <w:t xml:space="preserve">pieprasījumu atcelt </w:t>
      </w:r>
      <w:r w:rsidRPr="00CE041C">
        <w:rPr>
          <w:i/>
          <w:iCs/>
        </w:rPr>
        <w:t>Ilaria Salis</w:t>
      </w:r>
      <w:r w:rsidRPr="00CE041C">
        <w:t xml:space="preserve"> imunitāti, kuru Budapeštas Apgabalties</w:t>
      </w:r>
      <w:r w:rsidR="00323262" w:rsidRPr="00CE041C">
        <w:t>a</w:t>
      </w:r>
      <w:r w:rsidRPr="00CE041C">
        <w:t xml:space="preserve"> </w:t>
      </w:r>
      <w:r w:rsidR="00323262" w:rsidRPr="00CE041C">
        <w:t xml:space="preserve">iesniedza saistībā ar </w:t>
      </w:r>
      <w:r w:rsidRPr="00CE041C">
        <w:t>kriminālprocesu</w:t>
      </w:r>
      <w:r w:rsidR="00323262" w:rsidRPr="00CE041C">
        <w:t>, ko</w:t>
      </w:r>
      <w:r w:rsidRPr="00CE041C">
        <w:t xml:space="preserve"> šī tiesa </w:t>
      </w:r>
      <w:r w:rsidR="00323262" w:rsidRPr="00CE041C">
        <w:t>ierosinājusi,</w:t>
      </w:r>
      <w:r w:rsidRPr="00CE041C">
        <w:t xml:space="preserve"> un par kuru paziņots </w:t>
      </w:r>
      <w:r w:rsidR="00323262" w:rsidRPr="00CE041C">
        <w:t xml:space="preserve">Parlamentā </w:t>
      </w:r>
      <w:r w:rsidRPr="00CE041C">
        <w:t>2024. gada 22. </w:t>
      </w:r>
      <w:r w:rsidR="00323262" w:rsidRPr="00CE041C">
        <w:t>oktobrī</w:t>
      </w:r>
      <w:r w:rsidRPr="00CE041C">
        <w:t>,</w:t>
      </w:r>
    </w:p>
    <w:p w14:paraId="24C5A5F7" w14:textId="7E091731" w:rsidR="00C65239" w:rsidRPr="00CE041C" w:rsidRDefault="00C65239" w:rsidP="00C65239">
      <w:pPr>
        <w:pStyle w:val="NormalHanging12a"/>
      </w:pPr>
      <w:r w:rsidRPr="00CE041C">
        <w:t>–</w:t>
      </w:r>
      <w:r w:rsidRPr="00CE041C">
        <w:tab/>
        <w:t xml:space="preserve">pēc </w:t>
      </w:r>
      <w:r w:rsidRPr="00CE041C">
        <w:rPr>
          <w:i/>
          <w:iCs/>
        </w:rPr>
        <w:t>Ilaria Salis</w:t>
      </w:r>
      <w:r w:rsidRPr="00CE041C">
        <w:t xml:space="preserve"> </w:t>
      </w:r>
      <w:r w:rsidR="00323262" w:rsidRPr="00CE041C">
        <w:t xml:space="preserve">uzklausīšanas </w:t>
      </w:r>
      <w:r w:rsidRPr="00CE041C">
        <w:t xml:space="preserve">2025. gada 13. februārī </w:t>
      </w:r>
      <w:r w:rsidR="00323262" w:rsidRPr="00CE041C">
        <w:t xml:space="preserve">un ņemot vērā viņas </w:t>
      </w:r>
      <w:r w:rsidRPr="00CE041C">
        <w:t>saskaņā ar Reglamenta 9. panta 6. punktu iesniegtos dokumentus,</w:t>
      </w:r>
    </w:p>
    <w:p w14:paraId="4D7CBA30" w14:textId="77777777" w:rsidR="00C65239" w:rsidRPr="00CE041C" w:rsidRDefault="00C65239" w:rsidP="00C65239">
      <w:pPr>
        <w:pStyle w:val="NormalHanging12a"/>
      </w:pPr>
      <w:r w:rsidRPr="00CE041C">
        <w:t>–</w:t>
      </w:r>
      <w:r w:rsidRPr="00CE041C">
        <w:tab/>
        <w:t>ņemot vērā Budapeštas Apgabaltiesas iesniegto papildu informāciju,</w:t>
      </w:r>
    </w:p>
    <w:p w14:paraId="44FFABE3" w14:textId="3DCB9C73" w:rsidR="00C65239" w:rsidRPr="00CE041C" w:rsidRDefault="00C65239" w:rsidP="00C65239">
      <w:pPr>
        <w:pStyle w:val="NormalHanging12a"/>
      </w:pPr>
      <w:r w:rsidRPr="00CE041C">
        <w:t>–</w:t>
      </w:r>
      <w:r w:rsidRPr="00CE041C">
        <w:tab/>
        <w:t>ņemot vērā</w:t>
      </w:r>
      <w:r w:rsidR="00323262" w:rsidRPr="00CE041C">
        <w:t xml:space="preserve"> P</w:t>
      </w:r>
      <w:r w:rsidRPr="00CE041C">
        <w:t xml:space="preserve">rotokola </w:t>
      </w:r>
      <w:r w:rsidR="00323262" w:rsidRPr="00CE041C">
        <w:t xml:space="preserve">Nr. 7 </w:t>
      </w:r>
      <w:r w:rsidRPr="00CE041C">
        <w:t>par privilēģijām un imunitāti Eiropas Savienībā 8. un 9. pantu, kā arī 1976. gada 20. septembra Akta par Eiropas Parlamenta deputātu ievēlēšanu tiešās vispārējās vēlēšanās 6. panta 2. punktu,</w:t>
      </w:r>
    </w:p>
    <w:p w14:paraId="1F720540" w14:textId="473DC61D" w:rsidR="00C65239" w:rsidRPr="00CE041C" w:rsidRDefault="00C65239" w:rsidP="00C65239">
      <w:pPr>
        <w:pStyle w:val="NormalHanging12a"/>
      </w:pPr>
      <w:r w:rsidRPr="00CE041C">
        <w:t>–</w:t>
      </w:r>
      <w:r w:rsidRPr="00CE041C">
        <w:tab/>
        <w:t>ņemot vērā Eiropas Savienības Tiesas 2008. gada 21. oktobra, 2010. gada 19. marta, 2011. gada 6. septembra, 2013. gada 17. janvāra</w:t>
      </w:r>
      <w:r w:rsidR="00323262" w:rsidRPr="00CE041C">
        <w:t xml:space="preserve">, </w:t>
      </w:r>
      <w:r w:rsidRPr="00CE041C">
        <w:t xml:space="preserve">2019. gada 19. decembra </w:t>
      </w:r>
      <w:r w:rsidR="00323262" w:rsidRPr="00CE041C">
        <w:t xml:space="preserve">un 2023. gada 5. jūlija </w:t>
      </w:r>
      <w:r w:rsidRPr="00CE041C">
        <w:t>spriedumu</w:t>
      </w:r>
      <w:r w:rsidR="00323262" w:rsidRPr="00CE041C">
        <w:t>s</w:t>
      </w:r>
      <w:r w:rsidRPr="00CE041C">
        <w:rPr>
          <w:rStyle w:val="FootnoteReference"/>
          <w:color w:val="000000"/>
        </w:rPr>
        <w:footnoteReference w:id="1"/>
      </w:r>
      <w:r w:rsidRPr="00CE041C">
        <w:t>,</w:t>
      </w:r>
    </w:p>
    <w:p w14:paraId="74401D4C" w14:textId="77777777" w:rsidR="00C65239" w:rsidRPr="00CE041C" w:rsidRDefault="00C65239" w:rsidP="00C65239">
      <w:pPr>
        <w:pStyle w:val="NormalHanging12a"/>
      </w:pPr>
      <w:r w:rsidRPr="00CE041C">
        <w:t>–</w:t>
      </w:r>
      <w:r w:rsidRPr="00CE041C">
        <w:tab/>
        <w:t>ņemot vērā Reglamenta 5. panta 2. punktu, 6. panta 1. punktu un 9. pantu,</w:t>
      </w:r>
    </w:p>
    <w:p w14:paraId="5AB0DD86" w14:textId="77777777" w:rsidR="00C65239" w:rsidRPr="00CE041C" w:rsidRDefault="00C65239" w:rsidP="00C65239">
      <w:pPr>
        <w:pStyle w:val="NormalHanging12a"/>
      </w:pPr>
      <w:r w:rsidRPr="00CE041C">
        <w:lastRenderedPageBreak/>
        <w:t>–</w:t>
      </w:r>
      <w:r w:rsidRPr="00CE041C">
        <w:tab/>
        <w:t>ņemot vērā Juridiskās komitejas ziņojumu (A10-0183/2025),</w:t>
      </w:r>
    </w:p>
    <w:p w14:paraId="4E2F53B1" w14:textId="5A4CE8BD" w:rsidR="00C65239" w:rsidRPr="00CE041C" w:rsidRDefault="00C65239" w:rsidP="00C65239">
      <w:pPr>
        <w:pStyle w:val="NormalHanging12a"/>
      </w:pPr>
      <w:r w:rsidRPr="00CE041C">
        <w:t>A.</w:t>
      </w:r>
      <w:r w:rsidRPr="00CE041C">
        <w:tab/>
        <w:t xml:space="preserve">tā kā </w:t>
      </w:r>
      <w:r w:rsidR="00AE40BC">
        <w:t xml:space="preserve">2024. gada 10. oktobrī </w:t>
      </w:r>
      <w:r w:rsidRPr="00CE041C">
        <w:t xml:space="preserve">Budapeštas Apgabaltiesa Ungārijā pieprasīja atcelt Itālijā ievēlētās Eiropas Parlamenta deputātes </w:t>
      </w:r>
      <w:r w:rsidRPr="00CE041C">
        <w:rPr>
          <w:i/>
          <w:iCs/>
        </w:rPr>
        <w:t>Ilaria Salis</w:t>
      </w:r>
      <w:r w:rsidRPr="00CE041C">
        <w:t xml:space="preserve"> imunitāti saistībā ar šajā tiesā patlaban izskatīšanā esošu kriminālprocesu;</w:t>
      </w:r>
    </w:p>
    <w:p w14:paraId="08AA8A5E" w14:textId="051E8997" w:rsidR="00C65239" w:rsidRPr="00CE041C" w:rsidRDefault="00C65239" w:rsidP="00C65239">
      <w:pPr>
        <w:pStyle w:val="NormalHanging12a"/>
      </w:pPr>
      <w:r w:rsidRPr="00CE041C">
        <w:t>B.</w:t>
      </w:r>
      <w:r w:rsidRPr="00CE041C">
        <w:tab/>
        <w:t xml:space="preserve">tā kā no pieprasījuma izriet, ka Vācijā izveidotas organizācijas locekļi 2022. gadā bija nolēmuši Budapeštā veikt vardarbīgus koordinētus uzbrukumus labēji ekstrēmo politisko spēku piekritējiem vai neidentificētām personām, kas par piekritējiem tiek uztvertas vai tiek turētas aizdomās par minēto spēku atbalstīšanu, un plānoja šos uzbrukumus izdarīt 2023. gada 11. februārī – tā dēvētajā Goda dienā, ko ik gadu Budapeštā atzīmē, pieminot mēģinājumu 1945. gadā izrauties no nacistisko spēku aplenkuma, – un dienās pirms un pēc tās; tā kā no pieprasījuma izriet, ka </w:t>
      </w:r>
      <w:r w:rsidRPr="00CE041C">
        <w:rPr>
          <w:i/>
          <w:iCs/>
        </w:rPr>
        <w:t>Ilaria Salis</w:t>
      </w:r>
      <w:r w:rsidRPr="00CE041C">
        <w:t xml:space="preserve"> devās uz Ungāriju, lai piedalītos šajos koordinētajos uzbrukumos, un piedalījās tajos 2023. gada 10. un 11. februārī; tā kā tika ziņots par asu vārdu apmaiņu un vardarbības gadījumiem, ko izdarījuši cilvēki, kuri atzīmēja tā dēvēto Goda dienu; tā kā Budapeštas Apgabaltiesa </w:t>
      </w:r>
      <w:r w:rsidR="00323262" w:rsidRPr="00CE041C">
        <w:t>ir norādījusi</w:t>
      </w:r>
      <w:r w:rsidRPr="00CE041C">
        <w:t xml:space="preserve">, ka tās rīcībā nav informācijas par kādām vardarbīgām darbībām, ko būtu veicis kāds 2023. gada </w:t>
      </w:r>
      <w:r w:rsidR="00323262" w:rsidRPr="00CE041C">
        <w:t xml:space="preserve">tā dēvētās </w:t>
      </w:r>
      <w:r w:rsidRPr="00CE041C">
        <w:t>Goda dienas atzīmētājs, kas būtu novedis pie lietas, kas ierosināta</w:t>
      </w:r>
      <w:r w:rsidR="00C75249" w:rsidRPr="00CE041C">
        <w:t xml:space="preserve"> pret šādu dalībnieku</w:t>
      </w:r>
      <w:r w:rsidRPr="00CE041C">
        <w:t xml:space="preserve">, izņemot </w:t>
      </w:r>
      <w:r w:rsidRPr="00CE041C">
        <w:rPr>
          <w:i/>
          <w:iCs/>
        </w:rPr>
        <w:t>Ilaria Salis</w:t>
      </w:r>
      <w:r w:rsidRPr="00CE041C">
        <w:t xml:space="preserve"> un divus citus apsūdzētos šajā lietā;</w:t>
      </w:r>
    </w:p>
    <w:p w14:paraId="118ADC31" w14:textId="77777777" w:rsidR="00C65239" w:rsidRPr="00CE041C" w:rsidRDefault="00C65239" w:rsidP="00C65239">
      <w:pPr>
        <w:pStyle w:val="NormalHanging12a"/>
      </w:pPr>
      <w:r w:rsidRPr="00CE041C">
        <w:t>C.</w:t>
      </w:r>
      <w:r w:rsidRPr="00CE041C">
        <w:tab/>
        <w:t xml:space="preserve">tā kā no pieprasījuma izriet, ka </w:t>
      </w:r>
      <w:r w:rsidRPr="00CE041C">
        <w:rPr>
          <w:i/>
          <w:iCs/>
        </w:rPr>
        <w:t>Ilaria Salis</w:t>
      </w:r>
      <w:r w:rsidRPr="00CE041C">
        <w:t xml:space="preserve">, kas ir viena no trim šajā lietā figurējošiem atbildētājiem, tiek apsūdzēta trīs tādu miesas bojājumu nodarīšanas mēģinājumos divas reizes kā līdzizdarītāja un vienu reizi kā līdzdalībniece, darbojoties kriminālā organizācijā Ungārijas Kriminālkodeksa 2012. gada Akta C 164. panta 8. punkta un 164. panta 1. punkta nozīmē; tā kā </w:t>
      </w:r>
      <w:r w:rsidRPr="00CE041C">
        <w:rPr>
          <w:i/>
          <w:iCs/>
        </w:rPr>
        <w:t>Ilaria Salis</w:t>
      </w:r>
      <w:r w:rsidRPr="00CE041C">
        <w:t xml:space="preserve"> darbības tādējādi saskaņā ar Ungārijas Kriminālkodeksu ir uzskatāmas par noziedzīgiem nodarījumiem;</w:t>
      </w:r>
    </w:p>
    <w:p w14:paraId="172E0571" w14:textId="77777777" w:rsidR="00C65239" w:rsidRPr="00CE041C" w:rsidRDefault="00C65239" w:rsidP="00C65239">
      <w:pPr>
        <w:pStyle w:val="NormalHanging12a"/>
        <w:rPr>
          <w:szCs w:val="24"/>
          <w:shd w:val="clear" w:color="auto" w:fill="FFFFFF"/>
        </w:rPr>
      </w:pPr>
      <w:r w:rsidRPr="00CE041C">
        <w:t>D.</w:t>
      </w:r>
      <w:r w:rsidRPr="00CE041C">
        <w:tab/>
        <w:t xml:space="preserve">tā kā 2024. gada Eiropas Parlamenta vēlēšanās </w:t>
      </w:r>
      <w:r w:rsidRPr="00CE041C">
        <w:rPr>
          <w:i/>
          <w:iCs/>
        </w:rPr>
        <w:t>Ilaria Salis</w:t>
      </w:r>
      <w:r w:rsidRPr="00CE041C">
        <w:t xml:space="preserve"> tika ievēlēta par Eiropas Parlamenta deputāti;</w:t>
      </w:r>
    </w:p>
    <w:p w14:paraId="5B937805" w14:textId="7556B169" w:rsidR="00C65239" w:rsidRPr="00CE041C" w:rsidRDefault="00C65239" w:rsidP="00C65239">
      <w:pPr>
        <w:pStyle w:val="NormalHanging12a"/>
      </w:pPr>
      <w:r w:rsidRPr="00CE041C">
        <w:t>E.</w:t>
      </w:r>
      <w:r w:rsidRPr="00CE041C">
        <w:tab/>
        <w:t xml:space="preserve">tā kā inkriminētie noziedzīgie nodarījumi un no tiem izrietošais pieprasījums atcelt viņas imunitāti </w:t>
      </w:r>
      <w:r w:rsidR="00C75249" w:rsidRPr="00CE041C">
        <w:t xml:space="preserve">neveido </w:t>
      </w:r>
      <w:r w:rsidRPr="00CE041C">
        <w:t xml:space="preserve">viedokli, kuru </w:t>
      </w:r>
      <w:r w:rsidRPr="00CE041C">
        <w:rPr>
          <w:i/>
          <w:iCs/>
        </w:rPr>
        <w:t>Ilaria Salis</w:t>
      </w:r>
      <w:r w:rsidRPr="00CE041C">
        <w:t xml:space="preserve"> ir paudusi, nedz balsojumu, kuru viņa ir veikusi, pildot savus pienākumus Protokola Nr. 7 par privilēģijām un imunitāti Eiropas Savienībā 8. panta nozīmē;</w:t>
      </w:r>
    </w:p>
    <w:p w14:paraId="43704BF5" w14:textId="67112598" w:rsidR="00C65239" w:rsidRPr="00CE041C" w:rsidRDefault="00C65239" w:rsidP="00C65239">
      <w:pPr>
        <w:pStyle w:val="NormalHanging12a"/>
        <w:rPr>
          <w:spacing w:val="-4"/>
        </w:rPr>
      </w:pPr>
      <w:r w:rsidRPr="00CE041C">
        <w:t>F.</w:t>
      </w:r>
      <w:r w:rsidRPr="00CE041C">
        <w:tab/>
        <w:t>tā kā saskaņā ar Protokola Nr. 7 par privilēģijām un imunitāti Eiropas Savienībā 9. pantu Parlamenta locekļiem savā valstī ir imunitāte, ko piešķir attiecīgās valsts parlamenta locekļiem, un visās citās dalībvalstīs – imunitāte attiecībā uz aizturēšanu un tiesvedību;</w:t>
      </w:r>
    </w:p>
    <w:p w14:paraId="461EBE4F" w14:textId="625E2C01" w:rsidR="00C65239" w:rsidRPr="00CE041C" w:rsidRDefault="00C65239" w:rsidP="00C65239">
      <w:pPr>
        <w:pStyle w:val="NormalHanging12a"/>
      </w:pPr>
      <w:r w:rsidRPr="00CE041C">
        <w:t>G.</w:t>
      </w:r>
      <w:r w:rsidRPr="00CE041C">
        <w:tab/>
        <w:t xml:space="preserve">tā kā saskaņā ar Parlamenta Reglamenta 5. panta 2. punktu deputāta imunitāte nav deputāta personiska privilēģija, bet gan visa </w:t>
      </w:r>
      <w:r w:rsidR="00216AF5">
        <w:t xml:space="preserve">Eiropas </w:t>
      </w:r>
      <w:r w:rsidRPr="00CE041C">
        <w:t>Parlamenta un tā deputātu neatkarības garantija;</w:t>
      </w:r>
    </w:p>
    <w:p w14:paraId="2477C168" w14:textId="77777777" w:rsidR="00C65239" w:rsidRPr="00CE041C" w:rsidRDefault="00C65239" w:rsidP="00C65239">
      <w:pPr>
        <w:pStyle w:val="NormalHanging12a"/>
      </w:pPr>
      <w:r w:rsidRPr="00CE041C">
        <w:t>H.</w:t>
      </w:r>
      <w:r w:rsidRPr="00CE041C">
        <w:tab/>
        <w:t>tā kā no EST judikatūras izriet, ka Parlamentam “ir ļoti plaša rīcības brīvība attiecībā uz virzienu, kādu tas vēlas piešķirt lēmumam, kas pieņemts pēc pieprasījuma atcelt imunitāti (..), jo šāds lēmums ir politisks”</w:t>
      </w:r>
      <w:r w:rsidRPr="00CE041C">
        <w:rPr>
          <w:vertAlign w:val="superscript"/>
        </w:rPr>
        <w:footnoteReference w:id="2"/>
      </w:r>
      <w:r w:rsidRPr="00CE041C">
        <w:t>;</w:t>
      </w:r>
    </w:p>
    <w:p w14:paraId="21436B0E" w14:textId="77777777" w:rsidR="00C65239" w:rsidRPr="00CE041C" w:rsidRDefault="00C65239" w:rsidP="00C65239">
      <w:pPr>
        <w:pStyle w:val="NormalHanging12a"/>
      </w:pPr>
      <w:r w:rsidRPr="00CE041C">
        <w:lastRenderedPageBreak/>
        <w:t>I.</w:t>
      </w:r>
      <w:r w:rsidRPr="00CE041C">
        <w:tab/>
        <w:t xml:space="preserve">tā kā, īstenojot šo plašo rīcības brīvību, Parlaments šajā konkrētajā gadījumā konstatēja, ka pret viņu uzsāktā kriminālprocesa laikā </w:t>
      </w:r>
      <w:r w:rsidRPr="00CE041C">
        <w:rPr>
          <w:i/>
          <w:iCs/>
        </w:rPr>
        <w:t>Ilaria Salis</w:t>
      </w:r>
      <w:r w:rsidRPr="00CE041C">
        <w:t xml:space="preserve"> tika pakļauti skarbiem aizturēšanas apstākļiem un pasākumiem; tā kā izskatās, ka Budapeštas Apgabaltiesa nav informēta par neviena cita dalībnieka, jo īpaši tā dēvētās Goda dienas atzīmētāja 2023. gadā, vardarbīgām darbībām, kuru rezultātā pret tiem būtu veiktas kādas darbības; tā kā tādēļ šķiet, ka pastāv šaubas par saņemto informāciju, kuras nav iespējams kliedēt; tā kā tiesvedības un no tās izrietošā lūguma nolūks, šķiet, ir apklusināt </w:t>
      </w:r>
      <w:r w:rsidRPr="00CE041C">
        <w:rPr>
          <w:i/>
          <w:iCs/>
        </w:rPr>
        <w:t>Ilaria Salis</w:t>
      </w:r>
      <w:r w:rsidRPr="00CE041C">
        <w:t xml:space="preserve"> viņas ilglaicīgo politisko uzskatu un aktīvisma dēļ, jo īpaši iebilstot pret ikgadējo neonacistu piemiņas pasākumu, ko atļauts rīkot Budapeštā, kas bija viņas kā Eiropas Parlamenta deputātes iesaistīšanās un politiskā aktīvisma pamatā;</w:t>
      </w:r>
    </w:p>
    <w:p w14:paraId="326EBB5F" w14:textId="1D495F07" w:rsidR="00C65239" w:rsidRPr="00CE041C" w:rsidRDefault="00C65239" w:rsidP="00C65239">
      <w:pPr>
        <w:pStyle w:val="NormalHanging12a"/>
      </w:pPr>
      <w:r w:rsidRPr="00CE041C">
        <w:t>J.</w:t>
      </w:r>
      <w:r w:rsidRPr="00CE041C">
        <w:tab/>
        <w:t xml:space="preserve">tā kā tādēļ šķiet, ka </w:t>
      </w:r>
      <w:r w:rsidR="00C75249" w:rsidRPr="00CE041C">
        <w:t xml:space="preserve">šajā gadījumā </w:t>
      </w:r>
      <w:r w:rsidRPr="00CE041C">
        <w:t xml:space="preserve">var konstatēt </w:t>
      </w:r>
      <w:r w:rsidRPr="00CE041C">
        <w:rPr>
          <w:i/>
          <w:iCs/>
        </w:rPr>
        <w:t>fumus persecutionis</w:t>
      </w:r>
      <w:r w:rsidRPr="00CE041C">
        <w:t>, proti, “konkrētus pierādījumus”</w:t>
      </w:r>
      <w:r w:rsidRPr="00CE041C">
        <w:rPr>
          <w:vertAlign w:val="superscript"/>
        </w:rPr>
        <w:footnoteReference w:id="3"/>
      </w:r>
      <w:r w:rsidRPr="00CE041C">
        <w:t xml:space="preserve">, kas liek domāt, ka attiecīgais tiesiskais process tika uzsākts ar mērķi kaitēt  </w:t>
      </w:r>
      <w:r w:rsidRPr="00CE041C">
        <w:rPr>
          <w:i/>
          <w:iCs/>
        </w:rPr>
        <w:t>Ilaria Salis</w:t>
      </w:r>
      <w:r w:rsidRPr="00CE041C">
        <w:t xml:space="preserve"> politiskajai darbībai, jo īpaši viņas kā Eiropas Parlamenta deputātes darbībai;</w:t>
      </w:r>
    </w:p>
    <w:p w14:paraId="5D1709B2" w14:textId="77777777" w:rsidR="00C65239" w:rsidRPr="00CE041C" w:rsidRDefault="00C65239" w:rsidP="00C65239">
      <w:pPr>
        <w:pStyle w:val="NormalHanging12a"/>
      </w:pPr>
      <w:r w:rsidRPr="00CE041C">
        <w:t>K.</w:t>
      </w:r>
      <w:r w:rsidRPr="00CE041C">
        <w:tab/>
        <w:t>tā kā, no vienas puses, Parlaments nevar tikt pielīdzināts tiesai un, no otras puses, deputāts imunitātes atcelšanas procedūras kontekstā nevar tikt uzskatīts par apsūdzēto</w:t>
      </w:r>
      <w:r w:rsidRPr="00CE041C">
        <w:rPr>
          <w:rStyle w:val="FootnoteReference"/>
          <w:color w:val="000000"/>
        </w:rPr>
        <w:footnoteReference w:id="4"/>
      </w:r>
      <w:r w:rsidRPr="00CE041C">
        <w:t>;</w:t>
      </w:r>
    </w:p>
    <w:p w14:paraId="57DBD7DD" w14:textId="77777777" w:rsidR="00C65239" w:rsidRPr="00CE041C" w:rsidRDefault="00C65239" w:rsidP="00C65239">
      <w:pPr>
        <w:pStyle w:val="NormalHanging12a"/>
      </w:pPr>
      <w:r w:rsidRPr="00CE041C">
        <w:t>1.</w:t>
      </w:r>
      <w:r w:rsidRPr="00CE041C">
        <w:tab/>
        <w:t xml:space="preserve">nolemj neatcelt </w:t>
      </w:r>
      <w:r w:rsidRPr="00CE041C">
        <w:rPr>
          <w:i/>
          <w:iCs/>
        </w:rPr>
        <w:t>Ilaria Salis</w:t>
      </w:r>
      <w:r w:rsidRPr="00CE041C">
        <w:t xml:space="preserve"> deputāta imunitāti;</w:t>
      </w:r>
    </w:p>
    <w:p w14:paraId="3C23ECC7" w14:textId="200FF65D" w:rsidR="00E365E1" w:rsidRPr="00CE041C" w:rsidRDefault="00C65239" w:rsidP="004D0946">
      <w:pPr>
        <w:pStyle w:val="NormalHanging12a"/>
      </w:pPr>
      <w:r w:rsidRPr="00CE041C">
        <w:t>2.</w:t>
      </w:r>
      <w:r w:rsidRPr="00CE041C">
        <w:tab/>
        <w:t xml:space="preserve">uzdod priekšsēdētājai šo lēmumu un atbildīgās komitejas ziņojumu nekavējoties nosūtīt kompetentajai Ungārijas iestādei un </w:t>
      </w:r>
      <w:r w:rsidRPr="00CE041C">
        <w:rPr>
          <w:i/>
          <w:iCs/>
        </w:rPr>
        <w:t>Ilaria Salis</w:t>
      </w:r>
      <w:r w:rsidRPr="00CE041C">
        <w:t>.</w:t>
      </w:r>
    </w:p>
    <w:sectPr w:rsidR="00E365E1" w:rsidRPr="00CE041C" w:rsidSect="00DB4C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F3ABC" w14:textId="77777777" w:rsidR="002011AB" w:rsidRPr="00DB4CEA" w:rsidRDefault="002011AB">
      <w:r w:rsidRPr="00DB4CEA">
        <w:separator/>
      </w:r>
    </w:p>
  </w:endnote>
  <w:endnote w:type="continuationSeparator" w:id="0">
    <w:p w14:paraId="7AA54E13" w14:textId="77777777" w:rsidR="002011AB" w:rsidRPr="00DB4CEA" w:rsidRDefault="002011AB">
      <w:r w:rsidRPr="00DB4C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99D8" w14:textId="77777777" w:rsidR="00064002" w:rsidRPr="00DB4C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DAD9" w14:textId="77777777" w:rsidR="00064002" w:rsidRPr="00DB4C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8EB9" w14:textId="77777777" w:rsidR="00064002" w:rsidRPr="00DB4C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87095" w14:textId="77777777" w:rsidR="002011AB" w:rsidRPr="00DB4CEA" w:rsidRDefault="002011AB">
      <w:r w:rsidRPr="00DB4CEA">
        <w:separator/>
      </w:r>
    </w:p>
  </w:footnote>
  <w:footnote w:type="continuationSeparator" w:id="0">
    <w:p w14:paraId="51055340" w14:textId="77777777" w:rsidR="002011AB" w:rsidRPr="00DB4CEA" w:rsidRDefault="002011AB">
      <w:r w:rsidRPr="00DB4CEA">
        <w:continuationSeparator/>
      </w:r>
    </w:p>
  </w:footnote>
  <w:footnote w:id="1">
    <w:p w14:paraId="0446D21F" w14:textId="44F94EBE" w:rsidR="00C65239" w:rsidRPr="00DB4CEA" w:rsidRDefault="00C65239" w:rsidP="00DB4CEA">
      <w:pPr>
        <w:pStyle w:val="FootnoteText"/>
        <w:ind w:left="567" w:hanging="567"/>
        <w:rPr>
          <w:sz w:val="24"/>
          <w:lang w:val="lv-LV"/>
        </w:rPr>
      </w:pPr>
      <w:r w:rsidRPr="00DB4CEA">
        <w:rPr>
          <w:rStyle w:val="FootnoteReference"/>
          <w:sz w:val="24"/>
          <w:lang w:val="lv-LV"/>
        </w:rPr>
        <w:footnoteRef/>
      </w:r>
      <w:r w:rsidR="00DB4CEA" w:rsidRPr="00DB4CEA">
        <w:rPr>
          <w:sz w:val="24"/>
          <w:lang w:val="lv-LV"/>
        </w:rPr>
        <w:t xml:space="preserve"> </w:t>
      </w:r>
      <w:r w:rsidR="00DB4CEA" w:rsidRPr="00DB4CEA">
        <w:rPr>
          <w:sz w:val="24"/>
          <w:lang w:val="lv-LV"/>
        </w:rPr>
        <w:tab/>
      </w:r>
      <w:r w:rsidRPr="00DB4CEA">
        <w:rPr>
          <w:sz w:val="24"/>
          <w:lang w:val="lv-LV"/>
        </w:rPr>
        <w:t xml:space="preserve">Tiesas 2008. gada 21. oktobra spriedums, </w:t>
      </w:r>
      <w:r w:rsidRPr="00DB4CEA">
        <w:rPr>
          <w:i/>
          <w:iCs/>
          <w:sz w:val="24"/>
          <w:lang w:val="lv-LV"/>
        </w:rPr>
        <w:t>Marra/De Gregorio</w:t>
      </w:r>
      <w:r w:rsidRPr="00DB4CEA">
        <w:rPr>
          <w:sz w:val="24"/>
          <w:lang w:val="lv-LV"/>
        </w:rPr>
        <w:t xml:space="preserve"> un </w:t>
      </w:r>
      <w:r w:rsidRPr="00DB4CEA">
        <w:rPr>
          <w:i/>
          <w:iCs/>
          <w:sz w:val="24"/>
          <w:lang w:val="lv-LV"/>
        </w:rPr>
        <w:t>Clemente</w:t>
      </w:r>
      <w:r w:rsidRPr="00DB4CEA">
        <w:rPr>
          <w:sz w:val="24"/>
          <w:lang w:val="lv-LV"/>
        </w:rPr>
        <w:t>, C-200/07 un C-201/07, ECLI:EU:C:2008:579; Tiesas 2010. gada 19. marta spriedums,</w:t>
      </w:r>
      <w:r w:rsidRPr="00DB4CEA">
        <w:rPr>
          <w:i/>
          <w:iCs/>
          <w:sz w:val="24"/>
          <w:lang w:val="lv-LV"/>
        </w:rPr>
        <w:t xml:space="preserve"> Gollnisch</w:t>
      </w:r>
      <w:r w:rsidRPr="00DB4CEA">
        <w:rPr>
          <w:sz w:val="24"/>
          <w:lang w:val="lv-LV"/>
        </w:rPr>
        <w:t xml:space="preserve">/Parlaments, T-42/06, ECLI:EU:T:2010:102; Tiesas 2011. gada 6. septembra spriedums, </w:t>
      </w:r>
      <w:r w:rsidRPr="00DB4CEA">
        <w:rPr>
          <w:i/>
          <w:iCs/>
          <w:sz w:val="24"/>
          <w:lang w:val="lv-LV"/>
        </w:rPr>
        <w:t>Patriciello</w:t>
      </w:r>
      <w:r w:rsidRPr="00DB4CEA">
        <w:rPr>
          <w:sz w:val="24"/>
          <w:lang w:val="lv-LV"/>
        </w:rPr>
        <w:t xml:space="preserve">, C-163/10, ECLI: EU:C:2011:543; Vispārējās tiesas 2013. gada 17. janvāra spriedums, </w:t>
      </w:r>
      <w:r w:rsidRPr="00DB4CEA">
        <w:rPr>
          <w:i/>
          <w:iCs/>
          <w:sz w:val="24"/>
          <w:lang w:val="lv-LV"/>
        </w:rPr>
        <w:t>Gollnisch</w:t>
      </w:r>
      <w:r w:rsidRPr="00DB4CEA">
        <w:rPr>
          <w:sz w:val="24"/>
          <w:lang w:val="lv-LV"/>
        </w:rPr>
        <w:t xml:space="preserve">/Parlaments, T-346/11 un T-347/11, ECLI:EU:T:2013:23. Tiesas 2019. gada 19. decembra spriedums lietā C-502/19 </w:t>
      </w:r>
      <w:r w:rsidRPr="00DB4CEA">
        <w:rPr>
          <w:i/>
          <w:iCs/>
          <w:sz w:val="24"/>
          <w:lang w:val="lv-LV"/>
        </w:rPr>
        <w:t>Junqueras Vies</w:t>
      </w:r>
      <w:r w:rsidRPr="00DB4CEA">
        <w:rPr>
          <w:sz w:val="24"/>
          <w:lang w:val="lv-LV"/>
        </w:rPr>
        <w:t xml:space="preserve">, ECLI:EU:C:2019:1115; Vispārējās tiesas 2023. gada 5. jūlija spriedums lietā T-272/21 </w:t>
      </w:r>
      <w:r w:rsidRPr="00DB4CEA">
        <w:rPr>
          <w:i/>
          <w:iCs/>
          <w:sz w:val="24"/>
          <w:lang w:val="lv-LV"/>
        </w:rPr>
        <w:t>Puigdemont i Casamajó</w:t>
      </w:r>
      <w:r w:rsidRPr="00DB4CEA">
        <w:rPr>
          <w:sz w:val="24"/>
          <w:lang w:val="lv-LV"/>
        </w:rPr>
        <w:t xml:space="preserve"> u. c./Parlaments, ECLI:EU:T:2023:373.</w:t>
      </w:r>
    </w:p>
  </w:footnote>
  <w:footnote w:id="2">
    <w:p w14:paraId="2BF7AE94" w14:textId="031B7EB0" w:rsidR="00C65239" w:rsidRPr="00DB4CEA" w:rsidRDefault="00C65239" w:rsidP="00DB4CEA">
      <w:pPr>
        <w:pStyle w:val="FootnoteText"/>
        <w:ind w:left="567" w:hanging="567"/>
        <w:rPr>
          <w:sz w:val="24"/>
          <w:lang w:val="lv-LV"/>
        </w:rPr>
      </w:pPr>
      <w:r w:rsidRPr="00DB4CEA">
        <w:rPr>
          <w:rStyle w:val="FootnoteReference"/>
          <w:sz w:val="24"/>
          <w:lang w:val="lv-LV"/>
        </w:rPr>
        <w:footnoteRef/>
      </w:r>
      <w:r w:rsidR="00DB4CEA" w:rsidRPr="00DB4CEA">
        <w:rPr>
          <w:sz w:val="24"/>
          <w:lang w:val="lv-LV"/>
        </w:rPr>
        <w:t xml:space="preserve"> </w:t>
      </w:r>
      <w:r w:rsidR="00DB4CEA" w:rsidRPr="00DB4CEA">
        <w:rPr>
          <w:sz w:val="24"/>
          <w:lang w:val="lv-LV"/>
        </w:rPr>
        <w:tab/>
      </w:r>
      <w:r w:rsidRPr="00DB4CEA">
        <w:rPr>
          <w:sz w:val="24"/>
          <w:lang w:val="lv-LV"/>
        </w:rPr>
        <w:t xml:space="preserve">Vispārējās tiesas 2013. gada 17. janvāra spriedums, </w:t>
      </w:r>
      <w:r w:rsidRPr="00DB4CEA">
        <w:rPr>
          <w:i/>
          <w:iCs/>
          <w:sz w:val="24"/>
          <w:lang w:val="lv-LV"/>
        </w:rPr>
        <w:t>Gollnisch</w:t>
      </w:r>
      <w:r w:rsidRPr="00DB4CEA">
        <w:rPr>
          <w:sz w:val="24"/>
          <w:lang w:val="lv-LV"/>
        </w:rPr>
        <w:t>/Parlaments, T-346/11 un T-347/11, ECLI:EU:T:2013:23, 59. punkts un citētā judikatūra.</w:t>
      </w:r>
    </w:p>
  </w:footnote>
  <w:footnote w:id="3">
    <w:p w14:paraId="57F129E6" w14:textId="0149E561" w:rsidR="00C65239" w:rsidRPr="00DB4CEA" w:rsidRDefault="00C65239" w:rsidP="00DB4CEA">
      <w:pPr>
        <w:pStyle w:val="FootnoteText"/>
        <w:ind w:left="567" w:hanging="567"/>
        <w:rPr>
          <w:sz w:val="24"/>
          <w:lang w:val="lv-LV"/>
        </w:rPr>
      </w:pPr>
      <w:r w:rsidRPr="00DB4CEA">
        <w:rPr>
          <w:rStyle w:val="FootnoteReference"/>
          <w:sz w:val="24"/>
          <w:lang w:val="lv-LV"/>
        </w:rPr>
        <w:footnoteRef/>
      </w:r>
      <w:r w:rsidR="00DB4CEA" w:rsidRPr="00DB4CEA">
        <w:rPr>
          <w:sz w:val="24"/>
          <w:lang w:val="lv-LV"/>
        </w:rPr>
        <w:t xml:space="preserve"> </w:t>
      </w:r>
      <w:r w:rsidR="00DB4CEA" w:rsidRPr="00DB4CEA">
        <w:rPr>
          <w:sz w:val="24"/>
          <w:lang w:val="lv-LV"/>
        </w:rPr>
        <w:tab/>
      </w:r>
      <w:r w:rsidRPr="00DB4CEA">
        <w:rPr>
          <w:sz w:val="24"/>
          <w:lang w:val="lv-LV"/>
        </w:rPr>
        <w:t xml:space="preserve">Tiesas 2020. gada 17. septembra spriedums, </w:t>
      </w:r>
      <w:r w:rsidRPr="00DB4CEA">
        <w:rPr>
          <w:i/>
          <w:iCs/>
          <w:sz w:val="24"/>
          <w:lang w:val="lv-LV"/>
        </w:rPr>
        <w:t>Troszczynski</w:t>
      </w:r>
      <w:r w:rsidRPr="00DB4CEA">
        <w:rPr>
          <w:sz w:val="24"/>
          <w:lang w:val="lv-LV"/>
        </w:rPr>
        <w:t>/Parlaments, C-12/19 P, ECLI: EU:C:2011:725, 26. punkts;</w:t>
      </w:r>
    </w:p>
  </w:footnote>
  <w:footnote w:id="4">
    <w:p w14:paraId="59E136FE" w14:textId="6B1376C3" w:rsidR="00C65239" w:rsidRPr="00DB4CEA" w:rsidRDefault="00C65239" w:rsidP="00DB4CEA">
      <w:pPr>
        <w:pStyle w:val="FootnoteText"/>
        <w:ind w:left="567" w:hanging="567"/>
        <w:rPr>
          <w:sz w:val="24"/>
          <w:lang w:val="lv-LV"/>
        </w:rPr>
      </w:pPr>
      <w:r w:rsidRPr="00DB4CEA">
        <w:rPr>
          <w:rStyle w:val="FootnoteReference"/>
          <w:sz w:val="24"/>
          <w:lang w:val="lv-LV"/>
        </w:rPr>
        <w:footnoteRef/>
      </w:r>
      <w:r w:rsidR="00DB4CEA" w:rsidRPr="00DB4CEA">
        <w:rPr>
          <w:sz w:val="24"/>
          <w:lang w:val="lv-LV"/>
        </w:rPr>
        <w:t xml:space="preserve"> </w:t>
      </w:r>
      <w:r w:rsidR="00DB4CEA" w:rsidRPr="00DB4CEA">
        <w:rPr>
          <w:sz w:val="24"/>
          <w:lang w:val="lv-LV"/>
        </w:rPr>
        <w:tab/>
      </w:r>
      <w:r w:rsidRPr="00DB4CEA">
        <w:rPr>
          <w:sz w:val="24"/>
          <w:lang w:val="lv-LV"/>
        </w:rPr>
        <w:t xml:space="preserve">Vispārējās tiesas 2019. gada 30. aprīļa spriedums, </w:t>
      </w:r>
      <w:r w:rsidRPr="00DB4CEA">
        <w:rPr>
          <w:i/>
          <w:iCs/>
          <w:sz w:val="24"/>
          <w:lang w:val="lv-LV"/>
        </w:rPr>
        <w:t>Briois</w:t>
      </w:r>
      <w:r w:rsidRPr="00DB4CEA">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032D" w14:textId="77777777" w:rsidR="00064002" w:rsidRPr="00DB4C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A8BD1" w14:textId="77777777" w:rsidR="00064002" w:rsidRPr="00DB4C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3E32" w14:textId="77777777" w:rsidR="00064002" w:rsidRPr="00DB4C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122251">
    <w:abstractNumId w:val="9"/>
  </w:num>
  <w:num w:numId="2" w16cid:durableId="1476527995">
    <w:abstractNumId w:val="9"/>
  </w:num>
  <w:num w:numId="3" w16cid:durableId="1685748634">
    <w:abstractNumId w:val="7"/>
  </w:num>
  <w:num w:numId="4" w16cid:durableId="1455103327">
    <w:abstractNumId w:val="7"/>
  </w:num>
  <w:num w:numId="5" w16cid:durableId="1762291340">
    <w:abstractNumId w:val="6"/>
  </w:num>
  <w:num w:numId="6" w16cid:durableId="1587835326">
    <w:abstractNumId w:val="6"/>
  </w:num>
  <w:num w:numId="7" w16cid:durableId="764419126">
    <w:abstractNumId w:val="5"/>
  </w:num>
  <w:num w:numId="8" w16cid:durableId="1666857755">
    <w:abstractNumId w:val="5"/>
  </w:num>
  <w:num w:numId="9" w16cid:durableId="778183300">
    <w:abstractNumId w:val="4"/>
  </w:num>
  <w:num w:numId="10" w16cid:durableId="820998548">
    <w:abstractNumId w:val="4"/>
  </w:num>
  <w:num w:numId="11" w16cid:durableId="326396568">
    <w:abstractNumId w:val="8"/>
  </w:num>
  <w:num w:numId="12" w16cid:durableId="1619218014">
    <w:abstractNumId w:val="8"/>
  </w:num>
  <w:num w:numId="13" w16cid:durableId="377095267">
    <w:abstractNumId w:val="3"/>
  </w:num>
  <w:num w:numId="14" w16cid:durableId="1184586017">
    <w:abstractNumId w:val="3"/>
  </w:num>
  <w:num w:numId="15" w16cid:durableId="1178933001">
    <w:abstractNumId w:val="2"/>
  </w:num>
  <w:num w:numId="16" w16cid:durableId="537935561">
    <w:abstractNumId w:val="2"/>
  </w:num>
  <w:num w:numId="17" w16cid:durableId="606545572">
    <w:abstractNumId w:val="1"/>
  </w:num>
  <w:num w:numId="18" w16cid:durableId="1710253699">
    <w:abstractNumId w:val="1"/>
  </w:num>
  <w:num w:numId="19" w16cid:durableId="1184780799">
    <w:abstractNumId w:val="0"/>
  </w:num>
  <w:num w:numId="20" w16cid:durableId="1449160577">
    <w:abstractNumId w:val="0"/>
  </w:num>
  <w:num w:numId="21" w16cid:durableId="1411200712">
    <w:abstractNumId w:val="9"/>
  </w:num>
  <w:num w:numId="22" w16cid:durableId="1991131633">
    <w:abstractNumId w:val="7"/>
  </w:num>
  <w:num w:numId="23" w16cid:durableId="1024359682">
    <w:abstractNumId w:val="6"/>
  </w:num>
  <w:num w:numId="24" w16cid:durableId="447890444">
    <w:abstractNumId w:val="5"/>
  </w:num>
  <w:num w:numId="25" w16cid:durableId="435057471">
    <w:abstractNumId w:val="4"/>
  </w:num>
  <w:num w:numId="26" w16cid:durableId="1421563340">
    <w:abstractNumId w:val="8"/>
  </w:num>
  <w:num w:numId="27" w16cid:durableId="1746955817">
    <w:abstractNumId w:val="3"/>
  </w:num>
  <w:num w:numId="28" w16cid:durableId="2083939673">
    <w:abstractNumId w:val="2"/>
  </w:num>
  <w:num w:numId="29" w16cid:durableId="804930831">
    <w:abstractNumId w:val="1"/>
  </w:num>
  <w:num w:numId="30" w16cid:durableId="319651128">
    <w:abstractNumId w:val="0"/>
  </w:num>
  <w:num w:numId="31" w16cid:durableId="682513030">
    <w:abstractNumId w:val="9"/>
  </w:num>
  <w:num w:numId="32" w16cid:durableId="997028697">
    <w:abstractNumId w:val="7"/>
  </w:num>
  <w:num w:numId="33" w16cid:durableId="1065681879">
    <w:abstractNumId w:val="6"/>
  </w:num>
  <w:num w:numId="34" w16cid:durableId="462383551">
    <w:abstractNumId w:val="5"/>
  </w:num>
  <w:num w:numId="35" w16cid:durableId="1975523982">
    <w:abstractNumId w:val="4"/>
  </w:num>
  <w:num w:numId="36" w16cid:durableId="963077742">
    <w:abstractNumId w:val="8"/>
  </w:num>
  <w:num w:numId="37" w16cid:durableId="870806400">
    <w:abstractNumId w:val="3"/>
  </w:num>
  <w:num w:numId="38" w16cid:durableId="1312099482">
    <w:abstractNumId w:val="2"/>
  </w:num>
  <w:num w:numId="39" w16cid:durableId="428626369">
    <w:abstractNumId w:val="1"/>
  </w:num>
  <w:num w:numId="40" w16cid:durableId="1053774607">
    <w:abstractNumId w:val="0"/>
  </w:num>
  <w:num w:numId="41" w16cid:durableId="27224600">
    <w:abstractNumId w:val="10"/>
  </w:num>
  <w:num w:numId="42" w16cid:durableId="2104522823">
    <w:abstractNumId w:val="10"/>
  </w:num>
  <w:num w:numId="43" w16cid:durableId="2117171216">
    <w:abstractNumId w:val="10"/>
  </w:num>
  <w:num w:numId="44" w16cid:durableId="262347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LV"/>
    <w:docVar w:name="dvnumam" w:val="0"/>
    <w:docVar w:name="dvpe" w:val="774.380"/>
    <w:docVar w:name="dvrapporteur" w:val="Referents: "/>
    <w:docVar w:name="dvtitre" w:val="Eiropas Parlamenta 2025. gada XX. XXX  rezolūcija par pieprasījumu atcelt Ilaria Salis imunitāti(2024/2086(IMM))"/>
  </w:docVars>
  <w:rsids>
    <w:rsidRoot w:val="002011AB"/>
    <w:rsid w:val="00002272"/>
    <w:rsid w:val="00064002"/>
    <w:rsid w:val="000677B9"/>
    <w:rsid w:val="000831BA"/>
    <w:rsid w:val="000A42CC"/>
    <w:rsid w:val="000E7DD9"/>
    <w:rsid w:val="0010095E"/>
    <w:rsid w:val="00125B37"/>
    <w:rsid w:val="00187494"/>
    <w:rsid w:val="001F32AE"/>
    <w:rsid w:val="002011AB"/>
    <w:rsid w:val="00216AF5"/>
    <w:rsid w:val="002767FF"/>
    <w:rsid w:val="002B18FE"/>
    <w:rsid w:val="002B5493"/>
    <w:rsid w:val="00323262"/>
    <w:rsid w:val="00343214"/>
    <w:rsid w:val="00361C00"/>
    <w:rsid w:val="00395FA1"/>
    <w:rsid w:val="003E15D4"/>
    <w:rsid w:val="00411CCE"/>
    <w:rsid w:val="0041666E"/>
    <w:rsid w:val="00421060"/>
    <w:rsid w:val="00471C19"/>
    <w:rsid w:val="004867E3"/>
    <w:rsid w:val="00494A28"/>
    <w:rsid w:val="004C0004"/>
    <w:rsid w:val="004C5D52"/>
    <w:rsid w:val="004D094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307"/>
    <w:rsid w:val="00981893"/>
    <w:rsid w:val="00A1687D"/>
    <w:rsid w:val="00A43E52"/>
    <w:rsid w:val="00A4678D"/>
    <w:rsid w:val="00A778C7"/>
    <w:rsid w:val="00AB441E"/>
    <w:rsid w:val="00AB6293"/>
    <w:rsid w:val="00AE0928"/>
    <w:rsid w:val="00AE40BC"/>
    <w:rsid w:val="00AF3B82"/>
    <w:rsid w:val="00B12E95"/>
    <w:rsid w:val="00B22876"/>
    <w:rsid w:val="00B558F0"/>
    <w:rsid w:val="00BD48FE"/>
    <w:rsid w:val="00BD7BD8"/>
    <w:rsid w:val="00BE6ADC"/>
    <w:rsid w:val="00C05BFE"/>
    <w:rsid w:val="00C23CD4"/>
    <w:rsid w:val="00C61C0C"/>
    <w:rsid w:val="00C65239"/>
    <w:rsid w:val="00C75249"/>
    <w:rsid w:val="00C941CB"/>
    <w:rsid w:val="00CC2357"/>
    <w:rsid w:val="00CE041C"/>
    <w:rsid w:val="00CF071A"/>
    <w:rsid w:val="00D058B8"/>
    <w:rsid w:val="00D56C11"/>
    <w:rsid w:val="00D834A0"/>
    <w:rsid w:val="00D872DF"/>
    <w:rsid w:val="00D91E21"/>
    <w:rsid w:val="00DA7FCD"/>
    <w:rsid w:val="00DB4CEA"/>
    <w:rsid w:val="00E365E1"/>
    <w:rsid w:val="00E41BF8"/>
    <w:rsid w:val="00E820A4"/>
    <w:rsid w:val="00EA2D4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FEEBC"/>
  <w15:chartTrackingRefBased/>
  <w15:docId w15:val="{88D16072-2CB0-4142-BE6F-E7AC829F3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65239"/>
    <w:rPr>
      <w:b/>
    </w:rPr>
  </w:style>
  <w:style w:type="paragraph" w:customStyle="1" w:styleId="NormalHanging12a">
    <w:name w:val="NormalHanging12a"/>
    <w:basedOn w:val="Normal"/>
    <w:rsid w:val="00C65239"/>
    <w:pPr>
      <w:spacing w:after="240"/>
      <w:ind w:left="567" w:hanging="567"/>
    </w:pPr>
  </w:style>
  <w:style w:type="paragraph" w:customStyle="1" w:styleId="EPComma">
    <w:name w:val="EPComma"/>
    <w:basedOn w:val="Normal"/>
    <w:rsid w:val="00C65239"/>
    <w:pPr>
      <w:spacing w:before="480" w:after="240"/>
    </w:pPr>
  </w:style>
  <w:style w:type="paragraph" w:styleId="Revision">
    <w:name w:val="Revision"/>
    <w:hidden/>
    <w:uiPriority w:val="99"/>
    <w:semiHidden/>
    <w:rsid w:val="004D094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2025-11-05T13:41:00Z</dcterms:created>
  <dcterms:modified xsi:type="dcterms:W3CDTF">2025-11-05T13:41:00Z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P10_TA(2025)0206_</vt:lpwstr>
  </property>
  <property fmtid="{D5CDD505-2E9C-101B-9397-08002B2CF9AE}" pid="4" name="&lt;Type&gt;">
    <vt:lpwstr>RR</vt:lpwstr>
  </property>
</Properties>
</file>