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083F" w14:paraId="731394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11BCB6" w14:textId="77777777" w:rsidR="00751A4A" w:rsidRPr="002E083F" w:rsidRDefault="00F82320" w:rsidP="0010095E">
            <w:pPr>
              <w:pStyle w:val="EPName"/>
            </w:pPr>
            <w:r w:rsidRPr="002E083F">
              <w:t>Parlament Europejski</w:t>
            </w:r>
          </w:p>
          <w:p w14:paraId="54817911" w14:textId="77777777" w:rsidR="00751A4A" w:rsidRPr="002E08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083F">
              <w:t>2024</w:t>
            </w:r>
            <w:r w:rsidR="00817416" w:rsidRPr="002E083F">
              <w:t>-202</w:t>
            </w:r>
            <w:r w:rsidRPr="002E083F">
              <w:t>9</w:t>
            </w:r>
          </w:p>
        </w:tc>
        <w:tc>
          <w:tcPr>
            <w:tcW w:w="2268" w:type="dxa"/>
            <w:shd w:val="clear" w:color="auto" w:fill="auto"/>
          </w:tcPr>
          <w:p w14:paraId="060E710C" w14:textId="77777777" w:rsidR="00751A4A" w:rsidRPr="002E083F" w:rsidRDefault="00187494" w:rsidP="0010095E">
            <w:pPr>
              <w:pStyle w:val="EPLogo"/>
            </w:pPr>
            <w:r w:rsidRPr="002E083F">
              <w:rPr>
                <w:noProof/>
                <w:lang w:eastAsia="ja-JP"/>
              </w:rPr>
              <w:drawing>
                <wp:inline distT="0" distB="0" distL="0" distR="0" wp14:anchorId="28672E29" wp14:editId="1962A0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2592DE" w14:textId="77777777" w:rsidR="00D058B8" w:rsidRPr="002E083F" w:rsidRDefault="00D058B8" w:rsidP="004C5D52">
      <w:pPr>
        <w:pStyle w:val="LineTop"/>
      </w:pPr>
    </w:p>
    <w:p w14:paraId="29803E5E" w14:textId="77777777" w:rsidR="00680577" w:rsidRPr="002E083F" w:rsidRDefault="00F82320" w:rsidP="00680577">
      <w:pPr>
        <w:pStyle w:val="EPBodyTA1"/>
      </w:pPr>
      <w:r w:rsidRPr="002E083F">
        <w:t>TEKSTY PRZYJĘTE</w:t>
      </w:r>
    </w:p>
    <w:p w14:paraId="37E56F52" w14:textId="77777777" w:rsidR="00D058B8" w:rsidRPr="002E083F" w:rsidRDefault="00D058B8" w:rsidP="00D058B8">
      <w:pPr>
        <w:pStyle w:val="LineBottom"/>
      </w:pPr>
    </w:p>
    <w:p w14:paraId="77EC6817" w14:textId="344BB38C" w:rsidR="00F82320" w:rsidRPr="002E083F" w:rsidRDefault="00F82320" w:rsidP="00F82320">
      <w:pPr>
        <w:pStyle w:val="ATHeading1"/>
      </w:pPr>
      <w:bookmarkStart w:id="0" w:name="TANumber"/>
      <w:r w:rsidRPr="002E083F">
        <w:t>P10_TA(2025)0</w:t>
      </w:r>
      <w:bookmarkEnd w:id="0"/>
      <w:r w:rsidR="007C4664">
        <w:t>206</w:t>
      </w:r>
    </w:p>
    <w:p w14:paraId="43622940" w14:textId="641992D2" w:rsidR="00F82320" w:rsidRPr="00977A37" w:rsidRDefault="00977A37" w:rsidP="00F82320">
      <w:pPr>
        <w:pStyle w:val="ATHeading2"/>
      </w:pPr>
      <w:r w:rsidRPr="00977A37">
        <w:t xml:space="preserve">Wniosek o uchylenie immunitetu </w:t>
      </w:r>
      <w:proofErr w:type="spellStart"/>
      <w:r w:rsidRPr="00977A37">
        <w:t>Ilarii</w:t>
      </w:r>
      <w:proofErr w:type="spellEnd"/>
      <w:r w:rsidRPr="00977A37">
        <w:t xml:space="preserve"> </w:t>
      </w:r>
      <w:proofErr w:type="spellStart"/>
      <w:r w:rsidRPr="00977A37">
        <w:t>Salis</w:t>
      </w:r>
      <w:proofErr w:type="spellEnd"/>
    </w:p>
    <w:p w14:paraId="27D54F7F" w14:textId="77777777" w:rsidR="00F82320" w:rsidRPr="002E083F" w:rsidRDefault="00F82320" w:rsidP="00F82320">
      <w:pPr>
        <w:rPr>
          <w:i/>
          <w:vanish/>
        </w:rPr>
      </w:pPr>
      <w:r w:rsidRPr="002E083F">
        <w:rPr>
          <w:i/>
        </w:rPr>
        <w:fldChar w:fldCharType="begin"/>
      </w:r>
      <w:r w:rsidRPr="002E083F">
        <w:rPr>
          <w:i/>
        </w:rPr>
        <w:instrText xml:space="preserve"> TC"(</w:instrText>
      </w:r>
      <w:bookmarkStart w:id="1" w:name="DocNumber"/>
      <w:r w:rsidRPr="002E083F">
        <w:rPr>
          <w:i/>
        </w:rPr>
        <w:instrText>A10-0183/2025</w:instrText>
      </w:r>
      <w:bookmarkEnd w:id="1"/>
      <w:r w:rsidRPr="002E083F">
        <w:rPr>
          <w:i/>
        </w:rPr>
        <w:instrText xml:space="preserve"> - Sprawozdawca: Ilhan Kyuchyuk)"\l3 \n&gt; \* MERGEFORMAT </w:instrText>
      </w:r>
      <w:r w:rsidRPr="002E083F">
        <w:rPr>
          <w:i/>
        </w:rPr>
        <w:fldChar w:fldCharType="end"/>
      </w:r>
    </w:p>
    <w:p w14:paraId="3D578D69" w14:textId="77777777" w:rsidR="00F82320" w:rsidRPr="002E083F" w:rsidRDefault="00F82320" w:rsidP="00F82320">
      <w:pPr>
        <w:rPr>
          <w:vanish/>
        </w:rPr>
      </w:pPr>
      <w:bookmarkStart w:id="2" w:name="Commission"/>
      <w:r w:rsidRPr="002E083F">
        <w:rPr>
          <w:vanish/>
        </w:rPr>
        <w:t>Komisja Prawna</w:t>
      </w:r>
      <w:bookmarkEnd w:id="2"/>
    </w:p>
    <w:p w14:paraId="62D8B98D" w14:textId="77777777" w:rsidR="00F82320" w:rsidRPr="002E083F" w:rsidRDefault="00F82320" w:rsidP="00F82320">
      <w:pPr>
        <w:rPr>
          <w:vanish/>
        </w:rPr>
      </w:pPr>
      <w:bookmarkStart w:id="3" w:name="PE"/>
      <w:r w:rsidRPr="002E083F">
        <w:rPr>
          <w:vanish/>
        </w:rPr>
        <w:t>PE774.380</w:t>
      </w:r>
      <w:bookmarkEnd w:id="3"/>
    </w:p>
    <w:p w14:paraId="2F535035" w14:textId="37579B4F" w:rsidR="00F82320" w:rsidRPr="002E083F" w:rsidRDefault="00F82320" w:rsidP="00F82320">
      <w:pPr>
        <w:pStyle w:val="ATHeading3"/>
      </w:pPr>
      <w:bookmarkStart w:id="4" w:name="Sujet"/>
      <w:r w:rsidRPr="002E083F">
        <w:t xml:space="preserve">Decyzja Parlamentu Europejskiego z dnia </w:t>
      </w:r>
      <w:r w:rsidR="00977A37">
        <w:t>7 października</w:t>
      </w:r>
      <w:r w:rsidRPr="002E083F">
        <w:t xml:space="preserve"> 2025 r. w sprawie wniosku o uchylenie immunitetu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bookmarkEnd w:id="4"/>
      <w:proofErr w:type="spellEnd"/>
      <w:r w:rsidRPr="002E083F">
        <w:t xml:space="preserve"> </w:t>
      </w:r>
      <w:bookmarkStart w:id="5" w:name="References"/>
      <w:r w:rsidRPr="002E083F">
        <w:t>(2024/2086(IMM))</w:t>
      </w:r>
      <w:bookmarkEnd w:id="5"/>
    </w:p>
    <w:p w14:paraId="2A38D001" w14:textId="77777777" w:rsidR="00F82320" w:rsidRPr="002E083F" w:rsidRDefault="00F82320" w:rsidP="00F82320"/>
    <w:p w14:paraId="192BB8A2" w14:textId="77777777" w:rsidR="00CA2E3E" w:rsidRPr="002E083F" w:rsidRDefault="00CA2E3E" w:rsidP="00CA2E3E">
      <w:pPr>
        <w:pStyle w:val="EPComma"/>
      </w:pPr>
      <w:bookmarkStart w:id="6" w:name="TextBodyBegin"/>
      <w:bookmarkEnd w:id="6"/>
      <w:r w:rsidRPr="002E083F">
        <w:rPr>
          <w:i/>
          <w:iCs/>
        </w:rPr>
        <w:t>Parlament Europejski</w:t>
      </w:r>
      <w:r w:rsidRPr="002E083F">
        <w:t>,</w:t>
      </w:r>
    </w:p>
    <w:p w14:paraId="3D56E5DE" w14:textId="13215E67" w:rsidR="00CA2E3E" w:rsidRPr="002E083F" w:rsidRDefault="00CA2E3E" w:rsidP="00CA2E3E">
      <w:pPr>
        <w:pStyle w:val="NormalHanging12a"/>
      </w:pPr>
      <w:r w:rsidRPr="002E083F">
        <w:t>–</w:t>
      </w:r>
      <w:r w:rsidRPr="002E083F">
        <w:tab/>
        <w:t xml:space="preserve">uwzględniając wniosek o uchylenie immunitetu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złożony</w:t>
      </w:r>
      <w:r w:rsidR="00872F13">
        <w:t xml:space="preserve"> w dniu</w:t>
      </w:r>
      <w:r w:rsidRPr="002E083F">
        <w:t xml:space="preserve"> 10 października 2024 r. przez</w:t>
      </w:r>
      <w:r w:rsidR="00977A37">
        <w:t xml:space="preserve"> </w:t>
      </w:r>
      <w:r w:rsidRPr="002E083F">
        <w:t xml:space="preserve">Sąd Okręgowy w Budapeszcie w związku z postępowaniem karnym </w:t>
      </w:r>
      <w:r w:rsidR="00872F13">
        <w:t>toczącym się</w:t>
      </w:r>
      <w:r w:rsidR="00872F13" w:rsidRPr="002E083F">
        <w:t xml:space="preserve"> </w:t>
      </w:r>
      <w:r w:rsidRPr="002E083F">
        <w:t xml:space="preserve">przed tym sądem, ogłoszony </w:t>
      </w:r>
      <w:r w:rsidR="00977A37">
        <w:t>w Parlamencie</w:t>
      </w:r>
      <w:r w:rsidRPr="002E083F">
        <w:t xml:space="preserve"> </w:t>
      </w:r>
      <w:r w:rsidR="00872F13">
        <w:t xml:space="preserve">w dniu </w:t>
      </w:r>
      <w:r w:rsidRPr="002E083F">
        <w:t>22 października 2024 r.,</w:t>
      </w:r>
    </w:p>
    <w:p w14:paraId="49BD3877" w14:textId="268CF686" w:rsidR="00CA2E3E" w:rsidRPr="002E083F" w:rsidRDefault="00CA2E3E" w:rsidP="00CA2E3E">
      <w:pPr>
        <w:pStyle w:val="NormalHanging12a"/>
      </w:pPr>
      <w:r w:rsidRPr="002E083F">
        <w:t>–</w:t>
      </w:r>
      <w:r w:rsidRPr="002E083F">
        <w:tab/>
        <w:t xml:space="preserve">po wysłuchaniu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</w:t>
      </w:r>
      <w:r w:rsidR="00872F13">
        <w:t xml:space="preserve">w dniu </w:t>
      </w:r>
      <w:r w:rsidRPr="002E083F">
        <w:t>13 lutego 2025 r. i uwzględniając dokumenty przedstawione przez nią w toku postępowania</w:t>
      </w:r>
      <w:r w:rsidR="00872F13">
        <w:t xml:space="preserve"> </w:t>
      </w:r>
      <w:r w:rsidR="00872F13" w:rsidRPr="002E083F">
        <w:t>zgodnie z art. 9 ust. 6 Regulaminu</w:t>
      </w:r>
      <w:r w:rsidRPr="002E083F">
        <w:t>,</w:t>
      </w:r>
    </w:p>
    <w:p w14:paraId="7B2C0FD5" w14:textId="35446B5F" w:rsidR="00CA2E3E" w:rsidRPr="002E083F" w:rsidRDefault="00CA2E3E" w:rsidP="00CA2E3E">
      <w:pPr>
        <w:pStyle w:val="NormalHanging12a"/>
      </w:pPr>
      <w:r w:rsidRPr="002E083F">
        <w:t>–</w:t>
      </w:r>
      <w:r w:rsidRPr="002E083F">
        <w:tab/>
        <w:t>uwzględniając dodatkowe informacje przedstawione przez Sąd Okręgowy w Budapeszcie,</w:t>
      </w:r>
    </w:p>
    <w:p w14:paraId="64686014" w14:textId="77777777" w:rsidR="00CA2E3E" w:rsidRPr="002E083F" w:rsidRDefault="00CA2E3E" w:rsidP="00CA2E3E">
      <w:pPr>
        <w:pStyle w:val="NormalHanging12a"/>
      </w:pPr>
      <w:r w:rsidRPr="002E083F">
        <w:t>–</w:t>
      </w:r>
      <w:r w:rsidRPr="002E083F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133AC94B" w14:textId="04CFD81F" w:rsidR="00CA2E3E" w:rsidRPr="002E083F" w:rsidRDefault="00CA2E3E" w:rsidP="00CA2E3E">
      <w:pPr>
        <w:pStyle w:val="NormalHanging12a"/>
      </w:pPr>
      <w:r w:rsidRPr="002E083F">
        <w:t>–</w:t>
      </w:r>
      <w:r w:rsidRPr="002E083F">
        <w:tab/>
        <w:t xml:space="preserve">uwzględniając wyroki wydane przez Trybunał Sprawiedliwości Unii Europejskiej </w:t>
      </w:r>
      <w:r w:rsidR="00872F13">
        <w:t xml:space="preserve">w dniach </w:t>
      </w:r>
      <w:r w:rsidRPr="002E083F">
        <w:t>21 października 2008 r., 19 marca 2010 r., 6 września 2011 r., 17 stycznia 2013 r., 19 grudnia 2019 r. oraz 5 lipca 2023 r.</w:t>
      </w:r>
      <w:r w:rsidRPr="002E083F">
        <w:rPr>
          <w:rStyle w:val="FootnoteReference"/>
          <w:color w:val="000000"/>
        </w:rPr>
        <w:footnoteReference w:id="1"/>
      </w:r>
      <w:r w:rsidRPr="002E083F">
        <w:t>,</w:t>
      </w:r>
    </w:p>
    <w:p w14:paraId="5148F68C" w14:textId="77777777" w:rsidR="00CA2E3E" w:rsidRPr="002E083F" w:rsidRDefault="00CA2E3E" w:rsidP="00CA2E3E">
      <w:pPr>
        <w:pStyle w:val="NormalHanging12a"/>
      </w:pPr>
      <w:r w:rsidRPr="002E083F">
        <w:t>–</w:t>
      </w:r>
      <w:r w:rsidRPr="002E083F">
        <w:tab/>
        <w:t>uwzględniając art. 5 ust. 2, art. 6 ust. 1 oraz art. 9 Regulaminu,</w:t>
      </w:r>
    </w:p>
    <w:p w14:paraId="77272A74" w14:textId="77777777" w:rsidR="00CA2E3E" w:rsidRPr="002E083F" w:rsidRDefault="00CA2E3E" w:rsidP="00CA2E3E">
      <w:pPr>
        <w:pStyle w:val="NormalHanging12a"/>
      </w:pPr>
      <w:r w:rsidRPr="002E083F">
        <w:t>–</w:t>
      </w:r>
      <w:r w:rsidRPr="002E083F">
        <w:tab/>
        <w:t>uwzględniając sprawozdanie Komisji Prawnej (A10-0183/2025),</w:t>
      </w:r>
    </w:p>
    <w:p w14:paraId="34949CED" w14:textId="37BCCEB0" w:rsidR="00CA2E3E" w:rsidRPr="002E083F" w:rsidRDefault="00CA2E3E" w:rsidP="00CA2E3E">
      <w:pPr>
        <w:pStyle w:val="NormalHanging12a"/>
      </w:pPr>
      <w:r w:rsidRPr="002E083F">
        <w:lastRenderedPageBreak/>
        <w:t>A.</w:t>
      </w:r>
      <w:r w:rsidRPr="002E083F">
        <w:tab/>
        <w:t xml:space="preserve">mając na uwadze, że </w:t>
      </w:r>
      <w:r w:rsidR="00872F13">
        <w:t>w dniu 10</w:t>
      </w:r>
      <w:r w:rsidR="00977A37">
        <w:t xml:space="preserve"> października 2024 r. </w:t>
      </w:r>
      <w:r w:rsidRPr="002E083F">
        <w:t xml:space="preserve">Sąd Okręgowy w Budapeszcie zwrócił się o uchylenie immunitetu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>, posłanki do Parlamentu Europejskiego wybranej we Włoszech, w związku z postępowaniem karnym zawisłym przed tym sądem;</w:t>
      </w:r>
    </w:p>
    <w:p w14:paraId="44550272" w14:textId="7C3F7065" w:rsidR="00CA2E3E" w:rsidRPr="002E083F" w:rsidRDefault="00CA2E3E" w:rsidP="00CA2E3E">
      <w:pPr>
        <w:pStyle w:val="NormalHanging12a"/>
      </w:pPr>
      <w:r w:rsidRPr="002E083F">
        <w:t>B.</w:t>
      </w:r>
      <w:r w:rsidRPr="002E083F">
        <w:tab/>
        <w:t xml:space="preserve">mając na uwadze, że zgodnie z treścią wniosku członkowie organizacji utworzonej w Niemczech postanowili w 2022 r. przeprowadzić w Budapeszcie brutalne skoordynowane ataki na zwolenników skrajnej prawicy lub niezidentyfikowane osoby postrzegane jako jej zwolennicy lub podejrzewane o takie sympatie polityczne, przy czym ataki te zaplanowali na dzień 11 lutego 2023 r., a także na dzień go poprzedzający i dzień następujący po tym dniu, w którym to świętowany jest tzw. „Dzień Honoru”, będący dorocznym wydarzeniem w Budapeszcie upamiętniającym próbę wyrwania się oblężonych oddziałów nazistowskich z okrążenia w 1945 r., dającym sposobność do spotkania się europejskich kręgów neonazistowskich; mając na uwadze, że zgodnie z treścią wniosku </w:t>
      </w:r>
      <w:proofErr w:type="spellStart"/>
      <w:r w:rsidRPr="002E083F">
        <w:t>Ilaria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udała się na Węgry, aby wziąć udział w rzeczonych skoordynowanych atakach, i uczestniczyła w nich </w:t>
      </w:r>
      <w:r w:rsidR="00872F13">
        <w:t xml:space="preserve">w dniach </w:t>
      </w:r>
      <w:r w:rsidRPr="002E083F">
        <w:t xml:space="preserve">10 i 11 lutego 2023 r.; </w:t>
      </w:r>
      <w:bookmarkStart w:id="7" w:name="_Hlk210736837"/>
      <w:r w:rsidRPr="002E083F">
        <w:t xml:space="preserve">mając na uwadze </w:t>
      </w:r>
      <w:bookmarkEnd w:id="7"/>
      <w:r w:rsidRPr="002E083F">
        <w:t xml:space="preserve">doniesienia o naruszeniach porządku publicznego i incydentach związanych z przemocą ze strony osób świętujących tzw. Dzień Honoru; mając na uwadze, że Sąd Okręgowy w Budapeszcie stwierdził, </w:t>
      </w:r>
      <w:r w:rsidR="00872F13">
        <w:t>że</w:t>
      </w:r>
      <w:r w:rsidR="00872F13" w:rsidRPr="002E083F">
        <w:t xml:space="preserve"> </w:t>
      </w:r>
      <w:r w:rsidRPr="002E083F">
        <w:t xml:space="preserve">nie </w:t>
      </w:r>
      <w:r w:rsidR="00872F13">
        <w:t>jest mu znane</w:t>
      </w:r>
      <w:r w:rsidRPr="002E083F">
        <w:t xml:space="preserve"> popełnieni</w:t>
      </w:r>
      <w:r w:rsidR="00872F13">
        <w:t>e</w:t>
      </w:r>
      <w:r w:rsidRPr="002E083F">
        <w:t xml:space="preserve"> aktów przemocy przez uczestników obchodów Dnia Honoru w 2023 r., </w:t>
      </w:r>
      <w:r w:rsidR="00BC0159">
        <w:t>innych niż</w:t>
      </w:r>
      <w:r w:rsidR="00BC0159" w:rsidRPr="002E083F">
        <w:t xml:space="preserve"> </w:t>
      </w:r>
      <w:proofErr w:type="spellStart"/>
      <w:r w:rsidR="00BC0159" w:rsidRPr="002E083F">
        <w:t>Ilarii</w:t>
      </w:r>
      <w:proofErr w:type="spellEnd"/>
      <w:r w:rsidR="00BC0159" w:rsidRPr="002E083F">
        <w:t xml:space="preserve"> </w:t>
      </w:r>
      <w:proofErr w:type="spellStart"/>
      <w:r w:rsidR="00BC0159" w:rsidRPr="002E083F">
        <w:t>Salis</w:t>
      </w:r>
      <w:proofErr w:type="spellEnd"/>
      <w:r w:rsidR="00BC0159" w:rsidRPr="002E083F">
        <w:t xml:space="preserve"> i dwóch innych oskarżonych w tej sprawie</w:t>
      </w:r>
      <w:r w:rsidR="00BC0159">
        <w:t>,</w:t>
      </w:r>
      <w:r w:rsidR="00BC0159" w:rsidRPr="002E083F">
        <w:t xml:space="preserve"> </w:t>
      </w:r>
      <w:r w:rsidRPr="002E083F">
        <w:t xml:space="preserve">które doprowadziłyby do podjęcia jakichkolwiek </w:t>
      </w:r>
      <w:r w:rsidR="00BC0159">
        <w:t>czynności</w:t>
      </w:r>
      <w:r w:rsidR="00BC0159" w:rsidRPr="002E083F">
        <w:t xml:space="preserve"> </w:t>
      </w:r>
      <w:r w:rsidR="00BC0159">
        <w:t>wobec</w:t>
      </w:r>
      <w:r w:rsidR="00BC0159" w:rsidRPr="002E083F">
        <w:t xml:space="preserve"> </w:t>
      </w:r>
      <w:r w:rsidR="00872F13">
        <w:t>takiemu uczestnikowi</w:t>
      </w:r>
      <w:r w:rsidRPr="002E083F">
        <w:t>;</w:t>
      </w:r>
    </w:p>
    <w:p w14:paraId="0C4B9ACC" w14:textId="6878ED96" w:rsidR="00CA2E3E" w:rsidRPr="002E083F" w:rsidRDefault="00CA2E3E" w:rsidP="00CA2E3E">
      <w:pPr>
        <w:pStyle w:val="NormalHanging12a"/>
      </w:pPr>
      <w:r w:rsidRPr="002E083F">
        <w:t>C.</w:t>
      </w:r>
      <w:r w:rsidRPr="002E083F">
        <w:tab/>
        <w:t xml:space="preserve">mając na uwadze, że zgodnie z treścią wniosku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>, będącej jedną z trzech osób oskarżonych w sprawie, postanowiono trzy zarzuty usiłowania pobicia, w którym naraża się człowieka na niebezpieczeństwo utraty życia, w warunkach działania w zorganizowanej grupie przestępczej, czyli przestępstwa z § 164 ust. 8 część pierwsza, w związku z § 164 ust. 1 ustawy C z 2012 r. – węgierski kodeks karny, dwukrotnie w charakterze współsprawcy, a jeden raz pomocnika</w:t>
      </w:r>
      <w:r w:rsidR="00872F13">
        <w:t>;</w:t>
      </w:r>
      <w:r w:rsidRPr="002E083F">
        <w:t xml:space="preserve"> mając na uwadze, że czyny zarzucane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stanowią zatem przestępstwo na gruncie węgierskiego kodeksu karnego;</w:t>
      </w:r>
    </w:p>
    <w:p w14:paraId="4B7E2D3F" w14:textId="763EDD4D" w:rsidR="00CA2E3E" w:rsidRPr="002E083F" w:rsidRDefault="00CA2E3E" w:rsidP="00CA2E3E">
      <w:pPr>
        <w:pStyle w:val="NormalHanging12a"/>
        <w:rPr>
          <w:szCs w:val="24"/>
          <w:shd w:val="clear" w:color="auto" w:fill="FFFFFF"/>
        </w:rPr>
      </w:pPr>
      <w:r w:rsidRPr="002E083F">
        <w:t>D.</w:t>
      </w:r>
      <w:r w:rsidRPr="002E083F">
        <w:tab/>
      </w:r>
      <w:r w:rsidRPr="002E083F">
        <w:rPr>
          <w:shd w:val="clear" w:color="auto" w:fill="FFFFFF"/>
        </w:rPr>
        <w:t>mając na uwadze, że</w:t>
      </w:r>
      <w:r w:rsidRPr="002E083F">
        <w:t xml:space="preserve"> </w:t>
      </w:r>
      <w:proofErr w:type="spellStart"/>
      <w:r w:rsidRPr="002E083F">
        <w:t>Ilarię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</w:t>
      </w:r>
      <w:r w:rsidRPr="002E083F">
        <w:rPr>
          <w:shd w:val="clear" w:color="auto" w:fill="FFFFFF"/>
        </w:rPr>
        <w:t>wybrano do Parlamentu</w:t>
      </w:r>
      <w:r w:rsidR="00977A37">
        <w:rPr>
          <w:shd w:val="clear" w:color="auto" w:fill="FFFFFF"/>
        </w:rPr>
        <w:t xml:space="preserve"> Europejskiego</w:t>
      </w:r>
      <w:r w:rsidRPr="002E083F">
        <w:rPr>
          <w:shd w:val="clear" w:color="auto" w:fill="FFFFFF"/>
        </w:rPr>
        <w:t xml:space="preserve"> w wyborach europejskich w czerwcu 2024 r.</w:t>
      </w:r>
      <w:r w:rsidRPr="002E083F">
        <w:t>;</w:t>
      </w:r>
    </w:p>
    <w:p w14:paraId="429A9903" w14:textId="11F0C08E" w:rsidR="00CA2E3E" w:rsidRPr="002E083F" w:rsidRDefault="00CA2E3E" w:rsidP="00CA2E3E">
      <w:pPr>
        <w:pStyle w:val="NormalHanging12a"/>
      </w:pPr>
      <w:r w:rsidRPr="002E083F">
        <w:t>E.</w:t>
      </w:r>
      <w:r w:rsidRPr="002E083F">
        <w:tab/>
        <w:t xml:space="preserve">mając na uwadze, że zarzucane </w:t>
      </w:r>
      <w:r w:rsidR="00872F13">
        <w:t xml:space="preserve">przestępstwa nie stanowią </w:t>
      </w:r>
      <w:r w:rsidRPr="002E083F">
        <w:t xml:space="preserve">opinii lub stanowiska zajętego przez </w:t>
      </w:r>
      <w:proofErr w:type="spellStart"/>
      <w:r w:rsidRPr="002E083F">
        <w:t>Ilarię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w głosowaniu w czasie wykonywania przez nią obowiązków służbowych w rozumieniu art. 8 Protokołu nr 7 w sprawie przywilejów i immunitetów Unii Europejskiej</w:t>
      </w:r>
      <w:r w:rsidR="00872F13">
        <w:t>, a</w:t>
      </w:r>
      <w:r w:rsidR="00872F13" w:rsidRPr="002E083F">
        <w:t xml:space="preserve"> późniejszy wniosek o uchylenie immunitetu nie dotycz</w:t>
      </w:r>
      <w:r w:rsidR="00872F13">
        <w:t>y takiej opinii lub stanowiska</w:t>
      </w:r>
      <w:r w:rsidRPr="002E083F">
        <w:t>;</w:t>
      </w:r>
    </w:p>
    <w:p w14:paraId="3FECDABC" w14:textId="5C17C04E" w:rsidR="00CA2E3E" w:rsidRPr="002E083F" w:rsidRDefault="00CA2E3E" w:rsidP="00CA2E3E">
      <w:pPr>
        <w:pStyle w:val="NormalHanging12a"/>
        <w:rPr>
          <w:spacing w:val="-4"/>
        </w:rPr>
      </w:pPr>
      <w:r w:rsidRPr="002E083F">
        <w:t>F.</w:t>
      </w:r>
      <w:r w:rsidRPr="002E083F">
        <w:tab/>
        <w:t xml:space="preserve">mając na uwadze, że art. 9 akapit pierwszy Protokołu nr 7 w sprawie przywilejów i immunitetów Unii Europejskiej stanowi, iż posłowie do Parlamentu Europejskiego na terytorium swojego państwa członkowskiego korzystają z immunitetów przyznawanych </w:t>
      </w:r>
      <w:r w:rsidR="00872F13">
        <w:t>członkom</w:t>
      </w:r>
      <w:r w:rsidRPr="002E083F">
        <w:t xml:space="preserve"> parlamentu ich państwa, a na terytorium innego państwa członkowskiego – z immunitetu chroniącego przed zatrzymaniem oraz immunitetu jurysdykcyjnego;</w:t>
      </w:r>
    </w:p>
    <w:p w14:paraId="7C90458B" w14:textId="16395D6F" w:rsidR="00CA2E3E" w:rsidRPr="002E083F" w:rsidRDefault="00CA2E3E" w:rsidP="00CA2E3E">
      <w:pPr>
        <w:pStyle w:val="NormalHanging12a"/>
      </w:pPr>
      <w:r w:rsidRPr="002E083F">
        <w:t>G.</w:t>
      </w:r>
      <w:r w:rsidRPr="002E083F">
        <w:tab/>
        <w:t xml:space="preserve">mając na uwadze, że zgodnie z art. 5 ust. 2 Regulaminu immunitet parlamentarny nie jest osobistym przywilejem posła, lecz gwarancją niezależności Parlamentu </w:t>
      </w:r>
      <w:r w:rsidR="006174D1">
        <w:t xml:space="preserve">Europejskiego </w:t>
      </w:r>
      <w:r w:rsidRPr="002E083F">
        <w:t xml:space="preserve">jako całości oraz jego </w:t>
      </w:r>
      <w:r w:rsidR="00872F13">
        <w:t>członków</w:t>
      </w:r>
      <w:r w:rsidRPr="002E083F">
        <w:t>;</w:t>
      </w:r>
    </w:p>
    <w:p w14:paraId="45C8F13D" w14:textId="31C230C9" w:rsidR="00CA2E3E" w:rsidRPr="002E083F" w:rsidRDefault="00CA2E3E" w:rsidP="00CA2E3E">
      <w:pPr>
        <w:pStyle w:val="NormalHanging12a"/>
      </w:pPr>
      <w:r w:rsidRPr="002E083F">
        <w:lastRenderedPageBreak/>
        <w:t>H.</w:t>
      </w:r>
      <w:r w:rsidRPr="002E083F">
        <w:tab/>
        <w:t>mając na uwadze, że z orzecznictwa Trybunału Sprawiedliwości Unii Europejskiej wynika, iż Parlament dysponuje „</w:t>
      </w:r>
      <w:r w:rsidR="00872F13">
        <w:t>bardzo s</w:t>
      </w:r>
      <w:r w:rsidR="00872F13" w:rsidRPr="00872F13">
        <w:t>zerokimi uprawnieniami dyskrecjonalnymi, jeśli chodzi o decyzję, jaką zamierza podjąć w przedmiocie wniosku o uchylenie immunitetu</w:t>
      </w:r>
      <w:r w:rsidR="00872F13" w:rsidRPr="00872F13" w:rsidDel="00872F13">
        <w:t xml:space="preserve"> </w:t>
      </w:r>
      <w:r w:rsidRPr="002E083F">
        <w:t>[...], ze względu na polityczny charakter takiej decyzji”</w:t>
      </w:r>
      <w:r w:rsidRPr="002E083F">
        <w:rPr>
          <w:vertAlign w:val="superscript"/>
        </w:rPr>
        <w:footnoteReference w:id="2"/>
      </w:r>
      <w:r w:rsidRPr="002E083F">
        <w:t>;</w:t>
      </w:r>
    </w:p>
    <w:p w14:paraId="48DB81DC" w14:textId="337E07A0" w:rsidR="00CA2E3E" w:rsidRPr="002E083F" w:rsidRDefault="00CA2E3E" w:rsidP="00CA2E3E">
      <w:pPr>
        <w:pStyle w:val="NormalHanging12a"/>
      </w:pPr>
      <w:r w:rsidRPr="002E083F">
        <w:t>I.</w:t>
      </w:r>
      <w:r w:rsidRPr="002E083F">
        <w:tab/>
        <w:t xml:space="preserve">mając na uwadze, że korzystając z rzeczonego szerokiego </w:t>
      </w:r>
      <w:r w:rsidR="00872F13">
        <w:t>uprawnienia dyskrecjonalnego</w:t>
      </w:r>
      <w:r w:rsidRPr="002E083F">
        <w:t xml:space="preserve">, Parlament stwierdził w tym konkretnym przypadku, </w:t>
      </w:r>
      <w:r w:rsidR="00872F13">
        <w:t>że</w:t>
      </w:r>
      <w:r w:rsidR="00872F13" w:rsidRPr="002E083F">
        <w:t xml:space="preserve"> </w:t>
      </w:r>
      <w:proofErr w:type="spellStart"/>
      <w:r w:rsidRPr="002E083F">
        <w:t>Ilaria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</w:t>
      </w:r>
      <w:r w:rsidR="00872F13">
        <w:t xml:space="preserve">była pozbawiona wolności w surowych warunkach i że zastosowano wobec niej surowe środki </w:t>
      </w:r>
      <w:r w:rsidRPr="002E083F">
        <w:t>w trakcie prowadzonego przeciwko niej postępowania karnego; mając na uwadze, że Sąd</w:t>
      </w:r>
      <w:r w:rsidR="00872F13">
        <w:t>owi</w:t>
      </w:r>
      <w:r w:rsidRPr="002E083F">
        <w:t xml:space="preserve"> Okręgow</w:t>
      </w:r>
      <w:r w:rsidR="00872F13">
        <w:t>emu</w:t>
      </w:r>
      <w:r w:rsidRPr="002E083F">
        <w:t xml:space="preserve"> w Budapeszcie nie jest </w:t>
      </w:r>
      <w:r w:rsidR="00872F13">
        <w:t>znane</w:t>
      </w:r>
      <w:r w:rsidR="00872F13" w:rsidRPr="002E083F">
        <w:t xml:space="preserve"> </w:t>
      </w:r>
      <w:r w:rsidRPr="002E083F">
        <w:t>popełnieni</w:t>
      </w:r>
      <w:r w:rsidR="002908D7">
        <w:t>e</w:t>
      </w:r>
      <w:r w:rsidRPr="002E083F">
        <w:t xml:space="preserve"> aktów przemocy przez innych uczestników, w szczególności uczestników obchodów tzw. Dnia Honoru w 2023 r., które doprowadziłyby do podjęcia jakichkolwiek czynności </w:t>
      </w:r>
      <w:r w:rsidR="00BC0159">
        <w:t>wobec</w:t>
      </w:r>
      <w:r w:rsidR="00BC0159" w:rsidRPr="002E083F">
        <w:t xml:space="preserve"> </w:t>
      </w:r>
      <w:r w:rsidR="002908D7">
        <w:t>nich</w:t>
      </w:r>
      <w:r w:rsidRPr="002E083F">
        <w:t xml:space="preserve">; </w:t>
      </w:r>
      <w:r w:rsidR="00BC0159">
        <w:t xml:space="preserve">mając na uwadze, że </w:t>
      </w:r>
      <w:r w:rsidRPr="002E083F">
        <w:t>w związku z tym wydaje się, że istnieją wątpliwości</w:t>
      </w:r>
      <w:r w:rsidR="00BC0159">
        <w:t xml:space="preserve"> dotyczące otrzymanych informacji</w:t>
      </w:r>
      <w:r w:rsidRPr="002E083F">
        <w:t xml:space="preserve">, których nie można było rozwiać; mając na uwadze, że podstawowym celem postępowania i wynikającego z niego wniosku wydaje się w związku z tym uciszenie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 z powodu wyznawanych przez nią od dawna poglądów politycznych i aktywizmu, w szczególności sprzeciwiania się corocznej uroczystości neonazistowskiej, na którą </w:t>
      </w:r>
      <w:r w:rsidR="00BC0159">
        <w:t>wydano</w:t>
      </w:r>
      <w:r w:rsidR="00BC0159" w:rsidRPr="002E083F">
        <w:t xml:space="preserve"> </w:t>
      </w:r>
      <w:r w:rsidRPr="002E083F">
        <w:t xml:space="preserve">pozwolenie w Budapeszcie, przy czym </w:t>
      </w:r>
      <w:r w:rsidR="00BC0159">
        <w:t>poglądy te</w:t>
      </w:r>
      <w:r w:rsidRPr="002E083F">
        <w:t xml:space="preserve"> leż</w:t>
      </w:r>
      <w:r w:rsidR="00BC0159">
        <w:t>ą</w:t>
      </w:r>
      <w:r w:rsidRPr="002E083F">
        <w:t xml:space="preserve"> również u podstaw jej zaangażowania i działalności politycznej jako posłanki do Parlamentu Europejskiego;</w:t>
      </w:r>
    </w:p>
    <w:p w14:paraId="2811A074" w14:textId="7606990F" w:rsidR="00CA2E3E" w:rsidRPr="002E083F" w:rsidRDefault="00CA2E3E" w:rsidP="00CA2E3E">
      <w:pPr>
        <w:pStyle w:val="NormalHanging12a"/>
      </w:pPr>
      <w:r w:rsidRPr="002E083F">
        <w:t>J.</w:t>
      </w:r>
      <w:r w:rsidRPr="002E083F">
        <w:tab/>
        <w:t xml:space="preserve">mając na uwadze, że w związku z tym wydaje się, </w:t>
      </w:r>
      <w:r w:rsidR="002908D7">
        <w:t>że</w:t>
      </w:r>
      <w:r w:rsidR="002908D7" w:rsidRPr="002E083F">
        <w:t xml:space="preserve"> </w:t>
      </w:r>
      <w:r w:rsidRPr="002E083F">
        <w:t xml:space="preserve">w rozpatrywanej sprawie istnieje </w:t>
      </w:r>
      <w:proofErr w:type="spellStart"/>
      <w:r w:rsidRPr="002E083F">
        <w:t>fumus</w:t>
      </w:r>
      <w:proofErr w:type="spellEnd"/>
      <w:r w:rsidRPr="002E083F">
        <w:t xml:space="preserve"> </w:t>
      </w:r>
      <w:proofErr w:type="spellStart"/>
      <w:r w:rsidRPr="002E083F">
        <w:t>persecutionis</w:t>
      </w:r>
      <w:proofErr w:type="spellEnd"/>
      <w:r w:rsidRPr="002E083F">
        <w:t>, tj. „konkretny dowód”</w:t>
      </w:r>
      <w:r w:rsidRPr="002E083F">
        <w:rPr>
          <w:vertAlign w:val="superscript"/>
        </w:rPr>
        <w:footnoteReference w:id="3"/>
      </w:r>
      <w:r w:rsidRPr="002E083F">
        <w:t xml:space="preserve"> wskazujący na to, iż postępowanie wszczęto z </w:t>
      </w:r>
      <w:r w:rsidR="00BC0159">
        <w:t>intencją podważenia</w:t>
      </w:r>
      <w:r w:rsidRPr="002E083F">
        <w:t xml:space="preserve"> działalności politycznej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 xml:space="preserve">, a zwłaszcza jej działalności </w:t>
      </w:r>
      <w:r w:rsidR="00BC0159">
        <w:t>w ramach pełnionej przez niej funkcji</w:t>
      </w:r>
      <w:r w:rsidR="00BC0159" w:rsidRPr="002E083F">
        <w:t xml:space="preserve"> </w:t>
      </w:r>
      <w:r w:rsidRPr="002E083F">
        <w:t>posłanki do Parlamentu Europejskiego;</w:t>
      </w:r>
    </w:p>
    <w:p w14:paraId="47453936" w14:textId="635B05EE" w:rsidR="00CA2E3E" w:rsidRPr="002E083F" w:rsidRDefault="00CA2E3E" w:rsidP="00CA2E3E">
      <w:pPr>
        <w:pStyle w:val="NormalHanging12a"/>
      </w:pPr>
      <w:r w:rsidRPr="002E083F">
        <w:t>K.</w:t>
      </w:r>
      <w:r w:rsidRPr="002E083F">
        <w:tab/>
        <w:t xml:space="preserve">mając na uwadze, że </w:t>
      </w:r>
      <w:r w:rsidR="00BC0159">
        <w:t xml:space="preserve">Parlament nie może pełnić roli sądu, oraz że </w:t>
      </w:r>
      <w:r w:rsidRPr="002E083F">
        <w:t xml:space="preserve">w procedurze uchylenia immunitetu </w:t>
      </w:r>
      <w:r w:rsidR="00BC0159" w:rsidRPr="002E083F">
        <w:t xml:space="preserve">posła </w:t>
      </w:r>
      <w:r w:rsidRPr="002E083F">
        <w:t>nie można uznawać za oskarżonego</w:t>
      </w:r>
      <w:r w:rsidRPr="002E083F">
        <w:rPr>
          <w:rStyle w:val="FootnoteReference"/>
          <w:color w:val="000000"/>
        </w:rPr>
        <w:footnoteReference w:id="4"/>
      </w:r>
      <w:r w:rsidRPr="002E083F">
        <w:t>;</w:t>
      </w:r>
    </w:p>
    <w:p w14:paraId="45B0B9DD" w14:textId="77777777" w:rsidR="00CA2E3E" w:rsidRPr="002E083F" w:rsidRDefault="00CA2E3E" w:rsidP="00CA2E3E">
      <w:pPr>
        <w:pStyle w:val="NormalHanging12a"/>
      </w:pPr>
      <w:r w:rsidRPr="002E083F">
        <w:t>1.</w:t>
      </w:r>
      <w:r w:rsidRPr="002E083F">
        <w:tab/>
        <w:t xml:space="preserve">podejmuje decyzję o odmowie uchylenia immunitetu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>;</w:t>
      </w:r>
    </w:p>
    <w:p w14:paraId="27D726AF" w14:textId="730B1C0A" w:rsidR="002E083F" w:rsidRPr="002E083F" w:rsidRDefault="00CA2E3E" w:rsidP="002E083F">
      <w:pPr>
        <w:pStyle w:val="NormalHanging12a"/>
      </w:pPr>
      <w:r w:rsidRPr="002E083F">
        <w:t>2.</w:t>
      </w:r>
      <w:r w:rsidRPr="002E083F">
        <w:tab/>
        <w:t xml:space="preserve">zobowiązuje swoją przewodniczącą do bezzwłocznego przekazania niniejszej decyzji i sprawozdania właściwej komisji właściwemu organowi Węgier oraz </w:t>
      </w:r>
      <w:proofErr w:type="spellStart"/>
      <w:r w:rsidRPr="002E083F">
        <w:t>Ilarii</w:t>
      </w:r>
      <w:proofErr w:type="spellEnd"/>
      <w:r w:rsidRPr="002E083F">
        <w:t xml:space="preserve"> </w:t>
      </w:r>
      <w:proofErr w:type="spellStart"/>
      <w:r w:rsidRPr="002E083F">
        <w:t>Salis</w:t>
      </w:r>
      <w:proofErr w:type="spellEnd"/>
      <w:r w:rsidRPr="002E083F">
        <w:t>.</w:t>
      </w:r>
    </w:p>
    <w:p w14:paraId="246C12E7" w14:textId="50DB8951" w:rsidR="00E365E1" w:rsidRPr="002E083F" w:rsidRDefault="00E365E1" w:rsidP="00F82320"/>
    <w:sectPr w:rsidR="00E365E1" w:rsidRPr="002E083F" w:rsidSect="002E08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1FEB0" w14:textId="77777777" w:rsidR="00F82320" w:rsidRPr="002E083F" w:rsidRDefault="00F82320">
      <w:r w:rsidRPr="002E083F">
        <w:separator/>
      </w:r>
    </w:p>
  </w:endnote>
  <w:endnote w:type="continuationSeparator" w:id="0">
    <w:p w14:paraId="334EDFCC" w14:textId="77777777" w:rsidR="00F82320" w:rsidRPr="002E083F" w:rsidRDefault="00F82320">
      <w:r w:rsidRPr="002E08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B607E" w14:textId="77777777" w:rsidR="00064002" w:rsidRPr="002E08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85A4" w14:textId="77777777" w:rsidR="00064002" w:rsidRPr="002E08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07F8" w14:textId="77777777" w:rsidR="00064002" w:rsidRPr="002E08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6BE38" w14:textId="77777777" w:rsidR="00F82320" w:rsidRPr="002E083F" w:rsidRDefault="00F82320">
      <w:r w:rsidRPr="002E083F">
        <w:separator/>
      </w:r>
    </w:p>
  </w:footnote>
  <w:footnote w:type="continuationSeparator" w:id="0">
    <w:p w14:paraId="1B3F8BC3" w14:textId="77777777" w:rsidR="00F82320" w:rsidRPr="002E083F" w:rsidRDefault="00F82320">
      <w:r w:rsidRPr="002E083F">
        <w:continuationSeparator/>
      </w:r>
    </w:p>
  </w:footnote>
  <w:footnote w:id="1">
    <w:p w14:paraId="39500867" w14:textId="375CE22A" w:rsidR="00CA2E3E" w:rsidRPr="002E083F" w:rsidRDefault="00CA2E3E" w:rsidP="002E083F">
      <w:pPr>
        <w:pStyle w:val="FootnoteText"/>
        <w:ind w:left="567" w:hanging="567"/>
        <w:rPr>
          <w:sz w:val="24"/>
          <w:lang w:val="pl-PL"/>
        </w:rPr>
      </w:pPr>
      <w:r w:rsidRPr="002E083F">
        <w:rPr>
          <w:rStyle w:val="FootnoteReference"/>
          <w:sz w:val="24"/>
          <w:lang w:val="pl-PL"/>
        </w:rPr>
        <w:footnoteRef/>
      </w:r>
      <w:r w:rsidR="002E083F" w:rsidRPr="002E083F">
        <w:rPr>
          <w:sz w:val="24"/>
          <w:lang w:val="pl-PL"/>
        </w:rPr>
        <w:t xml:space="preserve"> </w:t>
      </w:r>
      <w:r w:rsidR="002E083F" w:rsidRPr="002E083F">
        <w:rPr>
          <w:sz w:val="24"/>
          <w:lang w:val="pl-PL"/>
        </w:rPr>
        <w:tab/>
      </w:r>
      <w:r w:rsidRPr="002E083F">
        <w:rPr>
          <w:sz w:val="24"/>
          <w:lang w:val="pl-PL"/>
        </w:rPr>
        <w:t xml:space="preserve">Wyrok Trybunału Sprawiedliwości z 21 października 2008 r., </w:t>
      </w:r>
      <w:proofErr w:type="spellStart"/>
      <w:r w:rsidRPr="002E083F">
        <w:rPr>
          <w:sz w:val="24"/>
          <w:lang w:val="pl-PL"/>
        </w:rPr>
        <w:t>Marra</w:t>
      </w:r>
      <w:proofErr w:type="spellEnd"/>
      <w:r w:rsidRPr="002E083F">
        <w:rPr>
          <w:sz w:val="24"/>
          <w:lang w:val="pl-PL"/>
        </w:rPr>
        <w:t xml:space="preserve">/De </w:t>
      </w:r>
      <w:proofErr w:type="spellStart"/>
      <w:r w:rsidRPr="002E083F">
        <w:rPr>
          <w:sz w:val="24"/>
          <w:lang w:val="pl-PL"/>
        </w:rPr>
        <w:t>Gregorio</w:t>
      </w:r>
      <w:proofErr w:type="spellEnd"/>
      <w:r w:rsidRPr="002E083F">
        <w:rPr>
          <w:sz w:val="24"/>
          <w:lang w:val="pl-PL"/>
        </w:rPr>
        <w:t xml:space="preserve"> i </w:t>
      </w:r>
      <w:proofErr w:type="spellStart"/>
      <w:r w:rsidRPr="002E083F">
        <w:rPr>
          <w:sz w:val="24"/>
          <w:lang w:val="pl-PL"/>
        </w:rPr>
        <w:t>Clemente</w:t>
      </w:r>
      <w:proofErr w:type="spellEnd"/>
      <w:r w:rsidRPr="002E083F">
        <w:rPr>
          <w:sz w:val="24"/>
          <w:lang w:val="pl-PL"/>
        </w:rPr>
        <w:t xml:space="preserve">, C-200/07 i C-201/07, ECLI:EU:C:2008:579; wyrok Sądu z19 marca 2010 r., </w:t>
      </w:r>
      <w:proofErr w:type="spellStart"/>
      <w:r w:rsidRPr="002E083F">
        <w:rPr>
          <w:sz w:val="24"/>
          <w:lang w:val="pl-PL"/>
        </w:rPr>
        <w:t>Gollnisch</w:t>
      </w:r>
      <w:proofErr w:type="spellEnd"/>
      <w:r w:rsidRPr="002E083F">
        <w:rPr>
          <w:sz w:val="24"/>
          <w:lang w:val="pl-PL"/>
        </w:rPr>
        <w:t xml:space="preserve">/Parlament, T-42/06, ECLI:EU:T:2010:102; wyrok Trybunału Sprawiedliwości z 6 września 2011 r., </w:t>
      </w:r>
      <w:proofErr w:type="spellStart"/>
      <w:r w:rsidRPr="002E083F">
        <w:rPr>
          <w:sz w:val="24"/>
          <w:lang w:val="pl-PL"/>
        </w:rPr>
        <w:t>Patriciello</w:t>
      </w:r>
      <w:proofErr w:type="spellEnd"/>
      <w:r w:rsidRPr="002E083F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2E083F">
        <w:rPr>
          <w:sz w:val="24"/>
          <w:lang w:val="pl-PL"/>
        </w:rPr>
        <w:t>Gollnisch</w:t>
      </w:r>
      <w:proofErr w:type="spellEnd"/>
      <w:r w:rsidRPr="002E083F">
        <w:rPr>
          <w:sz w:val="24"/>
          <w:lang w:val="pl-PL"/>
        </w:rPr>
        <w:t xml:space="preserve">/Parlament, T-346/11 i T-347/11, ECLI:EU:T:2013:23: wyrok Trybunału Sprawiedliwości z 19 grudnia 2019 r., </w:t>
      </w:r>
      <w:proofErr w:type="spellStart"/>
      <w:r w:rsidRPr="002E083F">
        <w:rPr>
          <w:sz w:val="24"/>
          <w:lang w:val="pl-PL"/>
        </w:rPr>
        <w:t>Junqueras</w:t>
      </w:r>
      <w:proofErr w:type="spellEnd"/>
      <w:r w:rsidRPr="002E083F">
        <w:rPr>
          <w:sz w:val="24"/>
          <w:lang w:val="pl-PL"/>
        </w:rPr>
        <w:t xml:space="preserve"> </w:t>
      </w:r>
      <w:proofErr w:type="spellStart"/>
      <w:r w:rsidRPr="002E083F">
        <w:rPr>
          <w:sz w:val="24"/>
          <w:lang w:val="pl-PL"/>
        </w:rPr>
        <w:t>Vies</w:t>
      </w:r>
      <w:proofErr w:type="spellEnd"/>
      <w:r w:rsidRPr="002E083F">
        <w:rPr>
          <w:sz w:val="24"/>
          <w:lang w:val="pl-PL"/>
        </w:rPr>
        <w:t xml:space="preserve">, C-502/19, ECLI:EU:C:2019:1115; wyrok Sądu z 5 lipca 2023 r., </w:t>
      </w:r>
      <w:proofErr w:type="spellStart"/>
      <w:r w:rsidRPr="002E083F">
        <w:rPr>
          <w:sz w:val="24"/>
          <w:lang w:val="pl-PL"/>
        </w:rPr>
        <w:t>Puigdemont</w:t>
      </w:r>
      <w:proofErr w:type="spellEnd"/>
      <w:r w:rsidRPr="002E083F">
        <w:rPr>
          <w:sz w:val="24"/>
          <w:lang w:val="pl-PL"/>
        </w:rPr>
        <w:t xml:space="preserve"> i </w:t>
      </w:r>
      <w:proofErr w:type="spellStart"/>
      <w:r w:rsidRPr="002E083F">
        <w:rPr>
          <w:sz w:val="24"/>
          <w:lang w:val="pl-PL"/>
        </w:rPr>
        <w:t>Casamajó</w:t>
      </w:r>
      <w:proofErr w:type="spellEnd"/>
      <w:r w:rsidRPr="002E083F">
        <w:rPr>
          <w:sz w:val="24"/>
          <w:lang w:val="pl-PL"/>
        </w:rPr>
        <w:t xml:space="preserve"> i in./Parlament, T-272/21, ECLI:EU:T:2023:373.</w:t>
      </w:r>
    </w:p>
  </w:footnote>
  <w:footnote w:id="2">
    <w:p w14:paraId="4E5F2BC9" w14:textId="6D42822E" w:rsidR="00CA2E3E" w:rsidRPr="002E083F" w:rsidRDefault="00CA2E3E" w:rsidP="002E083F">
      <w:pPr>
        <w:pStyle w:val="FootnoteText"/>
        <w:ind w:left="567" w:hanging="567"/>
        <w:rPr>
          <w:sz w:val="24"/>
          <w:lang w:val="pl-PL"/>
        </w:rPr>
      </w:pPr>
      <w:r w:rsidRPr="002E083F">
        <w:rPr>
          <w:rStyle w:val="FootnoteReference"/>
          <w:sz w:val="24"/>
          <w:lang w:val="pl-PL"/>
        </w:rPr>
        <w:footnoteRef/>
      </w:r>
      <w:r w:rsidR="002E083F" w:rsidRPr="002E083F">
        <w:rPr>
          <w:sz w:val="24"/>
          <w:lang w:val="pl-PL"/>
        </w:rPr>
        <w:t xml:space="preserve"> </w:t>
      </w:r>
      <w:r w:rsidR="002E083F" w:rsidRPr="002E083F">
        <w:rPr>
          <w:sz w:val="24"/>
          <w:lang w:val="pl-PL"/>
        </w:rPr>
        <w:tab/>
      </w:r>
      <w:r w:rsidRPr="002E083F">
        <w:rPr>
          <w:sz w:val="24"/>
          <w:lang w:val="pl-PL"/>
        </w:rPr>
        <w:t xml:space="preserve">Wyrok Sądu z 17 stycznia 2013 r., </w:t>
      </w:r>
      <w:proofErr w:type="spellStart"/>
      <w:r w:rsidRPr="002E083F">
        <w:rPr>
          <w:sz w:val="24"/>
          <w:lang w:val="pl-PL"/>
        </w:rPr>
        <w:t>Gollnisch</w:t>
      </w:r>
      <w:proofErr w:type="spellEnd"/>
      <w:r w:rsidRPr="002E083F">
        <w:rPr>
          <w:sz w:val="24"/>
          <w:lang w:val="pl-PL"/>
        </w:rPr>
        <w:t>/Parlament, T-346/11 i T-347/11, ECLI:</w:t>
      </w:r>
      <w:proofErr w:type="gramStart"/>
      <w:r w:rsidRPr="002E083F">
        <w:rPr>
          <w:sz w:val="24"/>
          <w:lang w:val="pl-PL"/>
        </w:rPr>
        <w:t>EU:T</w:t>
      </w:r>
      <w:proofErr w:type="gramEnd"/>
      <w:r w:rsidRPr="002E083F">
        <w:rPr>
          <w:sz w:val="24"/>
          <w:lang w:val="pl-PL"/>
        </w:rPr>
        <w:t>:2013:23, pkt 59 i cytowane orzecznictwo.</w:t>
      </w:r>
    </w:p>
  </w:footnote>
  <w:footnote w:id="3">
    <w:p w14:paraId="341FAC17" w14:textId="43E191D6" w:rsidR="00CA2E3E" w:rsidRPr="002E083F" w:rsidRDefault="00CA2E3E" w:rsidP="002E083F">
      <w:pPr>
        <w:pStyle w:val="FootnoteText"/>
        <w:ind w:left="567" w:hanging="567"/>
        <w:rPr>
          <w:sz w:val="24"/>
          <w:lang w:val="pl-PL"/>
        </w:rPr>
      </w:pPr>
      <w:r w:rsidRPr="002E083F">
        <w:rPr>
          <w:rStyle w:val="FootnoteReference"/>
          <w:sz w:val="24"/>
          <w:lang w:val="pl-PL"/>
        </w:rPr>
        <w:footnoteRef/>
      </w:r>
      <w:r w:rsidR="002E083F" w:rsidRPr="002E083F">
        <w:rPr>
          <w:sz w:val="24"/>
          <w:lang w:val="pl-PL"/>
        </w:rPr>
        <w:t xml:space="preserve"> </w:t>
      </w:r>
      <w:r w:rsidR="002E083F" w:rsidRPr="002E083F">
        <w:rPr>
          <w:sz w:val="24"/>
          <w:lang w:val="pl-PL"/>
        </w:rPr>
        <w:tab/>
      </w:r>
      <w:r w:rsidRPr="002E083F">
        <w:rPr>
          <w:sz w:val="24"/>
          <w:lang w:val="pl-PL"/>
        </w:rPr>
        <w:t xml:space="preserve">Wyrok Trybunału Sprawiedliwości z 17 września 2020 r., </w:t>
      </w:r>
      <w:proofErr w:type="spellStart"/>
      <w:r w:rsidRPr="002E083F">
        <w:rPr>
          <w:sz w:val="24"/>
          <w:lang w:val="pl-PL"/>
        </w:rPr>
        <w:t>Troszczynski</w:t>
      </w:r>
      <w:proofErr w:type="spellEnd"/>
      <w:r w:rsidRPr="002E083F">
        <w:rPr>
          <w:sz w:val="24"/>
          <w:lang w:val="pl-PL"/>
        </w:rPr>
        <w:t>/</w:t>
      </w:r>
      <w:proofErr w:type="spellStart"/>
      <w:r w:rsidRPr="002E083F">
        <w:rPr>
          <w:sz w:val="24"/>
          <w:lang w:val="pl-PL"/>
        </w:rPr>
        <w:t>Parliament</w:t>
      </w:r>
      <w:proofErr w:type="spellEnd"/>
      <w:r w:rsidRPr="002E083F">
        <w:rPr>
          <w:sz w:val="24"/>
          <w:lang w:val="pl-PL"/>
        </w:rPr>
        <w:t>, C-12/19 P, ECLI:EU:C:2020:725, pkt 26.</w:t>
      </w:r>
    </w:p>
  </w:footnote>
  <w:footnote w:id="4">
    <w:p w14:paraId="3E19C1AD" w14:textId="25F79AE7" w:rsidR="00CA2E3E" w:rsidRPr="002E083F" w:rsidRDefault="00CA2E3E" w:rsidP="002E083F">
      <w:pPr>
        <w:pStyle w:val="FootnoteText"/>
        <w:ind w:left="567" w:hanging="567"/>
        <w:rPr>
          <w:sz w:val="24"/>
          <w:lang w:val="pl-PL"/>
        </w:rPr>
      </w:pPr>
      <w:r w:rsidRPr="002E083F">
        <w:rPr>
          <w:rStyle w:val="FootnoteReference"/>
          <w:sz w:val="24"/>
          <w:lang w:val="pl-PL"/>
        </w:rPr>
        <w:footnoteRef/>
      </w:r>
      <w:r w:rsidR="002E083F" w:rsidRPr="002E083F">
        <w:rPr>
          <w:sz w:val="24"/>
          <w:lang w:val="pl-PL"/>
        </w:rPr>
        <w:t xml:space="preserve"> </w:t>
      </w:r>
      <w:r w:rsidR="002E083F" w:rsidRPr="002E083F">
        <w:rPr>
          <w:sz w:val="24"/>
          <w:lang w:val="pl-PL"/>
        </w:rPr>
        <w:tab/>
      </w:r>
      <w:r w:rsidRPr="002E083F">
        <w:rPr>
          <w:sz w:val="24"/>
          <w:lang w:val="pl-PL"/>
        </w:rPr>
        <w:t xml:space="preserve">Wyrok Sądu z 30 kwietnia 2019 r., </w:t>
      </w:r>
      <w:proofErr w:type="spellStart"/>
      <w:r w:rsidRPr="002E083F">
        <w:rPr>
          <w:sz w:val="24"/>
          <w:lang w:val="pl-PL"/>
        </w:rPr>
        <w:t>Briois</w:t>
      </w:r>
      <w:proofErr w:type="spellEnd"/>
      <w:r w:rsidRPr="002E083F">
        <w:rPr>
          <w:sz w:val="24"/>
          <w:lang w:val="pl-PL"/>
        </w:rPr>
        <w:t>/</w:t>
      </w:r>
      <w:proofErr w:type="spellStart"/>
      <w:r w:rsidRPr="002E083F">
        <w:rPr>
          <w:sz w:val="24"/>
          <w:lang w:val="pl-PL"/>
        </w:rPr>
        <w:t>Parlement</w:t>
      </w:r>
      <w:proofErr w:type="spellEnd"/>
      <w:r w:rsidRPr="002E083F">
        <w:rPr>
          <w:sz w:val="24"/>
          <w:lang w:val="pl-PL"/>
        </w:rPr>
        <w:t>, T-214/18, ECLI:</w:t>
      </w:r>
      <w:proofErr w:type="gramStart"/>
      <w:r w:rsidRPr="002E083F">
        <w:rPr>
          <w:sz w:val="24"/>
          <w:lang w:val="pl-PL"/>
        </w:rPr>
        <w:t>EU:T</w:t>
      </w:r>
      <w:proofErr w:type="gramEnd"/>
      <w:r w:rsidRPr="002E083F">
        <w:rPr>
          <w:sz w:val="24"/>
          <w:lang w:val="pl-PL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0B8E" w14:textId="77777777" w:rsidR="00064002" w:rsidRPr="002E08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3633" w14:textId="77777777" w:rsidR="00064002" w:rsidRPr="002E08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80D16" w14:textId="77777777" w:rsidR="00064002" w:rsidRPr="002E08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8119845">
    <w:abstractNumId w:val="9"/>
  </w:num>
  <w:num w:numId="2" w16cid:durableId="1594045707">
    <w:abstractNumId w:val="9"/>
  </w:num>
  <w:num w:numId="3" w16cid:durableId="946159066">
    <w:abstractNumId w:val="7"/>
  </w:num>
  <w:num w:numId="4" w16cid:durableId="407769233">
    <w:abstractNumId w:val="7"/>
  </w:num>
  <w:num w:numId="5" w16cid:durableId="2053072796">
    <w:abstractNumId w:val="6"/>
  </w:num>
  <w:num w:numId="6" w16cid:durableId="222105942">
    <w:abstractNumId w:val="6"/>
  </w:num>
  <w:num w:numId="7" w16cid:durableId="2102951029">
    <w:abstractNumId w:val="5"/>
  </w:num>
  <w:num w:numId="8" w16cid:durableId="473790124">
    <w:abstractNumId w:val="5"/>
  </w:num>
  <w:num w:numId="9" w16cid:durableId="664823695">
    <w:abstractNumId w:val="4"/>
  </w:num>
  <w:num w:numId="10" w16cid:durableId="1879733821">
    <w:abstractNumId w:val="4"/>
  </w:num>
  <w:num w:numId="11" w16cid:durableId="571743541">
    <w:abstractNumId w:val="8"/>
  </w:num>
  <w:num w:numId="12" w16cid:durableId="39742674">
    <w:abstractNumId w:val="8"/>
  </w:num>
  <w:num w:numId="13" w16cid:durableId="1839037161">
    <w:abstractNumId w:val="3"/>
  </w:num>
  <w:num w:numId="14" w16cid:durableId="1577129879">
    <w:abstractNumId w:val="3"/>
  </w:num>
  <w:num w:numId="15" w16cid:durableId="1136482728">
    <w:abstractNumId w:val="2"/>
  </w:num>
  <w:num w:numId="16" w16cid:durableId="102578969">
    <w:abstractNumId w:val="2"/>
  </w:num>
  <w:num w:numId="17" w16cid:durableId="309485653">
    <w:abstractNumId w:val="1"/>
  </w:num>
  <w:num w:numId="18" w16cid:durableId="118034181">
    <w:abstractNumId w:val="1"/>
  </w:num>
  <w:num w:numId="19" w16cid:durableId="213005199">
    <w:abstractNumId w:val="0"/>
  </w:num>
  <w:num w:numId="20" w16cid:durableId="1932087045">
    <w:abstractNumId w:val="0"/>
  </w:num>
  <w:num w:numId="21" w16cid:durableId="750662668">
    <w:abstractNumId w:val="9"/>
  </w:num>
  <w:num w:numId="22" w16cid:durableId="923303854">
    <w:abstractNumId w:val="7"/>
  </w:num>
  <w:num w:numId="23" w16cid:durableId="212617072">
    <w:abstractNumId w:val="6"/>
  </w:num>
  <w:num w:numId="24" w16cid:durableId="645092205">
    <w:abstractNumId w:val="5"/>
  </w:num>
  <w:num w:numId="25" w16cid:durableId="777944757">
    <w:abstractNumId w:val="4"/>
  </w:num>
  <w:num w:numId="26" w16cid:durableId="790242617">
    <w:abstractNumId w:val="8"/>
  </w:num>
  <w:num w:numId="27" w16cid:durableId="1873954237">
    <w:abstractNumId w:val="3"/>
  </w:num>
  <w:num w:numId="28" w16cid:durableId="1417702484">
    <w:abstractNumId w:val="2"/>
  </w:num>
  <w:num w:numId="29" w16cid:durableId="58869702">
    <w:abstractNumId w:val="1"/>
  </w:num>
  <w:num w:numId="30" w16cid:durableId="255597148">
    <w:abstractNumId w:val="0"/>
  </w:num>
  <w:num w:numId="31" w16cid:durableId="1873377786">
    <w:abstractNumId w:val="9"/>
  </w:num>
  <w:num w:numId="32" w16cid:durableId="1458766138">
    <w:abstractNumId w:val="7"/>
  </w:num>
  <w:num w:numId="33" w16cid:durableId="966394099">
    <w:abstractNumId w:val="6"/>
  </w:num>
  <w:num w:numId="34" w16cid:durableId="1912502838">
    <w:abstractNumId w:val="5"/>
  </w:num>
  <w:num w:numId="35" w16cid:durableId="1588147549">
    <w:abstractNumId w:val="4"/>
  </w:num>
  <w:num w:numId="36" w16cid:durableId="1998722833">
    <w:abstractNumId w:val="8"/>
  </w:num>
  <w:num w:numId="37" w16cid:durableId="806043881">
    <w:abstractNumId w:val="3"/>
  </w:num>
  <w:num w:numId="38" w16cid:durableId="286661212">
    <w:abstractNumId w:val="2"/>
  </w:num>
  <w:num w:numId="39" w16cid:durableId="1196776818">
    <w:abstractNumId w:val="1"/>
  </w:num>
  <w:num w:numId="40" w16cid:durableId="1038705694">
    <w:abstractNumId w:val="0"/>
  </w:num>
  <w:num w:numId="41" w16cid:durableId="1901134112">
    <w:abstractNumId w:val="10"/>
  </w:num>
  <w:num w:numId="42" w16cid:durableId="315912837">
    <w:abstractNumId w:val="10"/>
  </w:num>
  <w:num w:numId="43" w16cid:durableId="1923488611">
    <w:abstractNumId w:val="10"/>
  </w:num>
  <w:num w:numId="44" w16cid:durableId="8465544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PL"/>
    <w:docVar w:name="dvnumam" w:val="0"/>
    <w:docVar w:name="dvpe" w:val="774.380"/>
    <w:docVar w:name="dvrapporteur" w:val="Sprawozdawca: "/>
    <w:docVar w:name="dvstar" w:val="??"/>
    <w:docVar w:name="dvtitre" w:val="Decyzja Parlamentu Europejskiego z dnia  2025 r. w sprawie wniosku o uchylenie immunitetu Ilarii Salis(2024/2086(IMM))"/>
  </w:docVars>
  <w:rsids>
    <w:rsidRoot w:val="00F823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08D7"/>
    <w:rsid w:val="002B18FE"/>
    <w:rsid w:val="002B1BDD"/>
    <w:rsid w:val="002B5493"/>
    <w:rsid w:val="002E083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480"/>
    <w:rsid w:val="006037C0"/>
    <w:rsid w:val="006174D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4664"/>
    <w:rsid w:val="007D1690"/>
    <w:rsid w:val="007E22AD"/>
    <w:rsid w:val="00817416"/>
    <w:rsid w:val="00842779"/>
    <w:rsid w:val="00865F67"/>
    <w:rsid w:val="00872F13"/>
    <w:rsid w:val="00881A7B"/>
    <w:rsid w:val="008840E5"/>
    <w:rsid w:val="00887B3E"/>
    <w:rsid w:val="008C2AC6"/>
    <w:rsid w:val="00930C23"/>
    <w:rsid w:val="0093193B"/>
    <w:rsid w:val="009509D8"/>
    <w:rsid w:val="00950B64"/>
    <w:rsid w:val="00977A3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2F0"/>
    <w:rsid w:val="00BC0159"/>
    <w:rsid w:val="00BD48FE"/>
    <w:rsid w:val="00BD7BD8"/>
    <w:rsid w:val="00BE6ADC"/>
    <w:rsid w:val="00C05BFE"/>
    <w:rsid w:val="00C23CD4"/>
    <w:rsid w:val="00C61C0C"/>
    <w:rsid w:val="00C941CB"/>
    <w:rsid w:val="00CA2E3E"/>
    <w:rsid w:val="00CC2357"/>
    <w:rsid w:val="00CF071A"/>
    <w:rsid w:val="00D058B8"/>
    <w:rsid w:val="00D56C11"/>
    <w:rsid w:val="00D834A0"/>
    <w:rsid w:val="00D872DF"/>
    <w:rsid w:val="00D91E21"/>
    <w:rsid w:val="00D92620"/>
    <w:rsid w:val="00DA7FCD"/>
    <w:rsid w:val="00E365E1"/>
    <w:rsid w:val="00E820A4"/>
    <w:rsid w:val="00EA08A6"/>
    <w:rsid w:val="00EB006A"/>
    <w:rsid w:val="00EB4772"/>
    <w:rsid w:val="00ED169E"/>
    <w:rsid w:val="00ED4235"/>
    <w:rsid w:val="00F04346"/>
    <w:rsid w:val="00F075DC"/>
    <w:rsid w:val="00F149E9"/>
    <w:rsid w:val="00F34FD2"/>
    <w:rsid w:val="00F5134D"/>
    <w:rsid w:val="00F74202"/>
    <w:rsid w:val="00F8232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4BE78"/>
  <w15:chartTrackingRefBased/>
  <w15:docId w15:val="{0BEF9EC6-ADF3-4B70-B5B5-3B8CD660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A2E3E"/>
    <w:pPr>
      <w:spacing w:after="240"/>
      <w:ind w:left="567" w:hanging="567"/>
    </w:pPr>
  </w:style>
  <w:style w:type="paragraph" w:customStyle="1" w:styleId="EPComma">
    <w:name w:val="EPComma"/>
    <w:basedOn w:val="Normal"/>
    <w:rsid w:val="00CA2E3E"/>
    <w:pPr>
      <w:spacing w:before="480" w:after="240"/>
    </w:pPr>
  </w:style>
  <w:style w:type="paragraph" w:styleId="Revision">
    <w:name w:val="Revision"/>
    <w:hidden/>
    <w:uiPriority w:val="99"/>
    <w:semiHidden/>
    <w:rsid w:val="00977A3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2025-11-04T14:00:00Z</dcterms:created>
  <dcterms:modified xsi:type="dcterms:W3CDTF">2025-11-04T14:00:00Z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A10-0183/2025</vt:lpwstr>
  </property>
  <property fmtid="{D5CDD505-2E9C-101B-9397-08002B2CF9AE}" pid="4" name="&lt;Type&gt;">
    <vt:lpwstr>RR</vt:lpwstr>
  </property>
</Properties>
</file>