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5A8A" w14:paraId="606999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9B40FC" w14:textId="77777777" w:rsidR="00751A4A" w:rsidRPr="007F5A8A" w:rsidRDefault="008872A1" w:rsidP="0010095E">
            <w:pPr>
              <w:pStyle w:val="EPName"/>
            </w:pPr>
            <w:r w:rsidRPr="007F5A8A">
              <w:t xml:space="preserve">Parlamento </w:t>
            </w:r>
            <w:proofErr w:type="gramStart"/>
            <w:r w:rsidRPr="007F5A8A">
              <w:t>Europeu</w:t>
            </w:r>
            <w:proofErr w:type="gramEnd"/>
          </w:p>
          <w:p w14:paraId="2918DE23" w14:textId="77777777" w:rsidR="00751A4A" w:rsidRPr="007F5A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5A8A">
              <w:t>2024</w:t>
            </w:r>
            <w:r w:rsidR="00817416" w:rsidRPr="007F5A8A">
              <w:t>-202</w:t>
            </w:r>
            <w:r w:rsidRPr="007F5A8A">
              <w:t>9</w:t>
            </w:r>
          </w:p>
        </w:tc>
        <w:tc>
          <w:tcPr>
            <w:tcW w:w="2268" w:type="dxa"/>
            <w:shd w:val="clear" w:color="auto" w:fill="auto"/>
          </w:tcPr>
          <w:p w14:paraId="3A0EAF58" w14:textId="77777777" w:rsidR="00751A4A" w:rsidRPr="007F5A8A" w:rsidRDefault="00187494" w:rsidP="0010095E">
            <w:pPr>
              <w:pStyle w:val="EPLogo"/>
            </w:pPr>
            <w:r w:rsidRPr="007F5A8A">
              <w:rPr>
                <w:noProof/>
                <w:lang w:eastAsia="ja-JP"/>
              </w:rPr>
              <w:drawing>
                <wp:inline distT="0" distB="0" distL="0" distR="0" wp14:anchorId="0BCF89B4" wp14:editId="33E278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330890" w14:textId="77777777" w:rsidR="00D058B8" w:rsidRPr="007F5A8A" w:rsidRDefault="00D058B8" w:rsidP="004C5D52">
      <w:pPr>
        <w:pStyle w:val="LineTop"/>
      </w:pPr>
    </w:p>
    <w:p w14:paraId="16DC4B37" w14:textId="77777777" w:rsidR="00680577" w:rsidRPr="007F5A8A" w:rsidRDefault="008872A1" w:rsidP="00680577">
      <w:pPr>
        <w:pStyle w:val="EPBodyTA1"/>
      </w:pPr>
      <w:r w:rsidRPr="007F5A8A">
        <w:t>TEXTOS APROVADOS</w:t>
      </w:r>
    </w:p>
    <w:p w14:paraId="1C3E3AB9" w14:textId="77777777" w:rsidR="00D058B8" w:rsidRPr="007F5A8A" w:rsidRDefault="00D058B8" w:rsidP="00D058B8">
      <w:pPr>
        <w:pStyle w:val="LineBottom"/>
      </w:pPr>
    </w:p>
    <w:p w14:paraId="1A5F9876" w14:textId="59A699E0" w:rsidR="008872A1" w:rsidRPr="007F5A8A" w:rsidRDefault="008872A1" w:rsidP="008872A1">
      <w:pPr>
        <w:pStyle w:val="ATHeading1"/>
      </w:pPr>
      <w:bookmarkStart w:id="0" w:name="TANumber"/>
      <w:r w:rsidRPr="007F5A8A">
        <w:t>P10_</w:t>
      </w:r>
      <w:proofErr w:type="gramStart"/>
      <w:r w:rsidRPr="007F5A8A">
        <w:t>TA(</w:t>
      </w:r>
      <w:proofErr w:type="gramEnd"/>
      <w:r w:rsidRPr="007F5A8A">
        <w:t>2025)</w:t>
      </w:r>
      <w:bookmarkEnd w:id="0"/>
      <w:r w:rsidR="00C35782" w:rsidRPr="007F5A8A">
        <w:t>0206</w:t>
      </w:r>
    </w:p>
    <w:p w14:paraId="6068A4C2" w14:textId="71516204" w:rsidR="008872A1" w:rsidRPr="007F5A8A" w:rsidRDefault="008872A1" w:rsidP="008872A1">
      <w:pPr>
        <w:pStyle w:val="ATHeading2"/>
      </w:pPr>
      <w:bookmarkStart w:id="1" w:name="title"/>
      <w:r w:rsidRPr="007F5A8A">
        <w:t xml:space="preserve">Pedido de levantamento da imunidade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bookmarkEnd w:id="1"/>
      <w:proofErr w:type="spellEnd"/>
    </w:p>
    <w:p w14:paraId="298581AA" w14:textId="77777777" w:rsidR="008872A1" w:rsidRPr="007F5A8A" w:rsidRDefault="008872A1" w:rsidP="008872A1">
      <w:pPr>
        <w:rPr>
          <w:i/>
          <w:vanish/>
        </w:rPr>
      </w:pPr>
      <w:r w:rsidRPr="007F5A8A">
        <w:rPr>
          <w:i/>
        </w:rPr>
        <w:fldChar w:fldCharType="begin"/>
      </w:r>
      <w:r w:rsidRPr="007F5A8A">
        <w:rPr>
          <w:i/>
        </w:rPr>
        <w:instrText xml:space="preserve"> TC"(</w:instrText>
      </w:r>
      <w:bookmarkStart w:id="2" w:name="DocNumber"/>
      <w:r w:rsidRPr="007F5A8A">
        <w:rPr>
          <w:i/>
        </w:rPr>
        <w:instrText>A10-0183/2025</w:instrText>
      </w:r>
      <w:bookmarkEnd w:id="2"/>
      <w:r w:rsidRPr="007F5A8A">
        <w:rPr>
          <w:i/>
        </w:rPr>
        <w:instrText xml:space="preserve"> - Relator: Ilhan Kyuchyuk)"\l3 \n&gt; \* MERGEFORMAT </w:instrText>
      </w:r>
      <w:r w:rsidRPr="007F5A8A">
        <w:rPr>
          <w:i/>
        </w:rPr>
        <w:fldChar w:fldCharType="end"/>
      </w:r>
    </w:p>
    <w:p w14:paraId="01CC32C6" w14:textId="77777777" w:rsidR="008872A1" w:rsidRPr="007F5A8A" w:rsidRDefault="008872A1" w:rsidP="008872A1">
      <w:pPr>
        <w:rPr>
          <w:vanish/>
        </w:rPr>
      </w:pPr>
      <w:bookmarkStart w:id="3" w:name="Commission"/>
      <w:r w:rsidRPr="007F5A8A">
        <w:rPr>
          <w:vanish/>
        </w:rPr>
        <w:t>Comissão dos Assuntos Jurídicos</w:t>
      </w:r>
      <w:bookmarkEnd w:id="3"/>
    </w:p>
    <w:p w14:paraId="11C48B82" w14:textId="77777777" w:rsidR="008872A1" w:rsidRPr="007F5A8A" w:rsidRDefault="008872A1" w:rsidP="008872A1">
      <w:pPr>
        <w:rPr>
          <w:vanish/>
        </w:rPr>
      </w:pPr>
      <w:bookmarkStart w:id="4" w:name="PE"/>
      <w:r w:rsidRPr="007F5A8A">
        <w:rPr>
          <w:vanish/>
        </w:rPr>
        <w:t>PE774.380</w:t>
      </w:r>
      <w:bookmarkEnd w:id="4"/>
    </w:p>
    <w:p w14:paraId="7EE1E378" w14:textId="6F29BED6" w:rsidR="008872A1" w:rsidRPr="007F5A8A" w:rsidRDefault="008872A1" w:rsidP="008872A1">
      <w:pPr>
        <w:pStyle w:val="ATHeading3"/>
      </w:pPr>
      <w:bookmarkStart w:id="5" w:name="Sujet"/>
      <w:r w:rsidRPr="007F5A8A">
        <w:t xml:space="preserve">Decisão do Parlamento Europeu, de </w:t>
      </w:r>
      <w:r w:rsidR="00920190" w:rsidRPr="007F5A8A">
        <w:t xml:space="preserve">7 </w:t>
      </w:r>
      <w:r w:rsidRPr="007F5A8A">
        <w:t xml:space="preserve">de </w:t>
      </w:r>
      <w:r w:rsidR="00920190" w:rsidRPr="007F5A8A">
        <w:t xml:space="preserve">outubro </w:t>
      </w:r>
      <w:r w:rsidRPr="007F5A8A">
        <w:t xml:space="preserve">de 2025, sobre o pedido de levantamento da imunidade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bookmarkEnd w:id="5"/>
      <w:proofErr w:type="spellEnd"/>
      <w:r w:rsidRPr="007F5A8A">
        <w:t xml:space="preserve"> </w:t>
      </w:r>
      <w:bookmarkStart w:id="6" w:name="References"/>
      <w:r w:rsidRPr="007F5A8A">
        <w:t>(2024/2086(IMM))</w:t>
      </w:r>
      <w:bookmarkEnd w:id="6"/>
    </w:p>
    <w:p w14:paraId="29531578" w14:textId="77777777" w:rsidR="006F0D46" w:rsidRPr="007F5A8A" w:rsidRDefault="006F0D46" w:rsidP="006F0D46">
      <w:pPr>
        <w:pStyle w:val="EPComma"/>
      </w:pPr>
      <w:bookmarkStart w:id="7" w:name="TextBodyBegin"/>
      <w:bookmarkEnd w:id="7"/>
      <w:r w:rsidRPr="007F5A8A">
        <w:rPr>
          <w:i/>
          <w:iCs/>
        </w:rPr>
        <w:t>O Parlamento Europeu</w:t>
      </w:r>
      <w:r w:rsidRPr="007F5A8A">
        <w:t>,</w:t>
      </w:r>
    </w:p>
    <w:p w14:paraId="736B54B6" w14:textId="766BA656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 xml:space="preserve">Tendo recebido um pedido de levantamento da imunidade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, transmitido em 10 de outubro de 2024 pelo Tribunal Regional de Budapeste</w:t>
      </w:r>
      <w:r w:rsidR="00AA0D16" w:rsidRPr="007F5A8A">
        <w:t>-Capital</w:t>
      </w:r>
      <w:r w:rsidRPr="007F5A8A">
        <w:t xml:space="preserve">, no âmbito de uma ação penal pendente neste tribunal, o qual foi </w:t>
      </w:r>
      <w:r w:rsidR="00CF2EBC" w:rsidRPr="007F5A8A">
        <w:t xml:space="preserve">anunciado </w:t>
      </w:r>
      <w:r w:rsidRPr="007F5A8A">
        <w:t>em sessão plenária em 22 de outubro de 2024,</w:t>
      </w:r>
    </w:p>
    <w:p w14:paraId="779DCC31" w14:textId="16C3F156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 xml:space="preserve">Tendo ouvido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em 13 de fevereiro de 2025 e tendo em conta os documentos por ela apresentados,</w:t>
      </w:r>
      <w:r w:rsidR="00CF2EBC" w:rsidRPr="007F5A8A">
        <w:t xml:space="preserve"> nos termos do artigo 9.º, n.º 6, do seu Regimento,</w:t>
      </w:r>
    </w:p>
    <w:p w14:paraId="7BAF5A39" w14:textId="7EAD9C62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>Tendo em conta a informação adicional prestada pelo Tribunal Regional de Budapeste</w:t>
      </w:r>
      <w:r w:rsidR="00AA0D16" w:rsidRPr="007F5A8A">
        <w:t>-Capital</w:t>
      </w:r>
      <w:r w:rsidRPr="007F5A8A">
        <w:t>,</w:t>
      </w:r>
    </w:p>
    <w:p w14:paraId="1125489A" w14:textId="44FEAAE7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>Tendo em conta os artigos 8.º e 9.º do Protocolo n.º 7 relativo aos Privilégios e Imunidades da União Europeia, bem como o artigo 6.º, n.º 2, do Ato relativo à Eleição dos Deputados ao Parlamento Europeu por Sufrágio Universal Direto, de 20 de setembro de 1976,</w:t>
      </w:r>
    </w:p>
    <w:p w14:paraId="5E5EF437" w14:textId="13C12AFC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>Tendo em conta os Acórdãos proferidos pelo Tribunal de Justiça da União Europeia em 21 de outubro de 2008, 19 de março de 2010, 6 de setembro de 2011, 17 de janeiro de</w:t>
      </w:r>
      <w:r w:rsidR="00920190" w:rsidRPr="007F5A8A">
        <w:t> </w:t>
      </w:r>
      <w:r w:rsidRPr="007F5A8A">
        <w:t>2013, 19 de dezembro de 2019 e 5 de julho de 2023</w:t>
      </w:r>
      <w:r w:rsidRPr="007F5A8A">
        <w:rPr>
          <w:rStyle w:val="FootnoteReference"/>
          <w:color w:val="000000"/>
        </w:rPr>
        <w:footnoteReference w:id="1"/>
      </w:r>
      <w:r w:rsidRPr="007F5A8A">
        <w:t>,</w:t>
      </w:r>
    </w:p>
    <w:p w14:paraId="7BCBCBA0" w14:textId="77777777" w:rsidR="006F0D46" w:rsidRPr="007F5A8A" w:rsidRDefault="006F0D46" w:rsidP="006F0D46">
      <w:pPr>
        <w:pStyle w:val="NormalHanging12a"/>
      </w:pPr>
      <w:r w:rsidRPr="007F5A8A">
        <w:lastRenderedPageBreak/>
        <w:t>–</w:t>
      </w:r>
      <w:r w:rsidRPr="007F5A8A">
        <w:tab/>
        <w:t>Tendo em conta o artigo 5.º, n.º 2, o artigo 6.º, n.º 1, e o artigo 9.º do seu Regimento,</w:t>
      </w:r>
    </w:p>
    <w:p w14:paraId="544FBDAC" w14:textId="77777777" w:rsidR="006F0D46" w:rsidRPr="007F5A8A" w:rsidRDefault="006F0D46" w:rsidP="006F0D46">
      <w:pPr>
        <w:pStyle w:val="NormalHanging12a"/>
      </w:pPr>
      <w:r w:rsidRPr="007F5A8A">
        <w:t>–</w:t>
      </w:r>
      <w:r w:rsidRPr="007F5A8A">
        <w:tab/>
        <w:t>Tendo em conta o relatório da Comissão dos Assuntos Jurídicos (A10-0183/2025),</w:t>
      </w:r>
    </w:p>
    <w:p w14:paraId="122C55C4" w14:textId="1A7C98FD" w:rsidR="006F0D46" w:rsidRPr="007F5A8A" w:rsidRDefault="006F0D46" w:rsidP="006F0D46">
      <w:pPr>
        <w:pStyle w:val="NormalHanging12a"/>
      </w:pPr>
      <w:r w:rsidRPr="007F5A8A">
        <w:t>A.</w:t>
      </w:r>
      <w:r w:rsidRPr="007F5A8A">
        <w:tab/>
        <w:t>Considerando que</w:t>
      </w:r>
      <w:r w:rsidR="00712752" w:rsidRPr="007F5A8A">
        <w:t>, em 10 de outubro de 2024,</w:t>
      </w:r>
      <w:r w:rsidRPr="007F5A8A">
        <w:t xml:space="preserve"> o Tribunal Regional de Budapeste</w:t>
      </w:r>
      <w:r w:rsidR="00AA0D16" w:rsidRPr="007F5A8A">
        <w:t>-Capital</w:t>
      </w:r>
      <w:r w:rsidRPr="007F5A8A">
        <w:t xml:space="preserve">, na Hungria, </w:t>
      </w:r>
      <w:r w:rsidR="00712752" w:rsidRPr="007F5A8A">
        <w:t xml:space="preserve">apresentou um pedido de </w:t>
      </w:r>
      <w:r w:rsidRPr="007F5A8A">
        <w:t xml:space="preserve">levantamento da imunidade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, deputada ao Parlamento Europeu eleita em Itália, no âmbito de uma ação penal pendente nesse tribunal;</w:t>
      </w:r>
    </w:p>
    <w:p w14:paraId="49E2F15B" w14:textId="3202E752" w:rsidR="006F0D46" w:rsidRPr="007F5A8A" w:rsidRDefault="006F0D46" w:rsidP="006F0D46">
      <w:pPr>
        <w:pStyle w:val="NormalHanging12a"/>
      </w:pPr>
      <w:r w:rsidRPr="007F5A8A">
        <w:t>B.</w:t>
      </w:r>
      <w:r w:rsidRPr="007F5A8A">
        <w:tab/>
        <w:t>Considerando que, de acordo com o pedido, os membros de uma organização criada na Alemanha decidiram, em 2022, levar a cabo ataques violentos e coordenados em Budapeste contra simpatizantes de extrema-direita, ou pessoas não identificadas</w:t>
      </w:r>
      <w:r w:rsidR="00DB3D88" w:rsidRPr="007F5A8A">
        <w:t xml:space="preserve">, </w:t>
      </w:r>
      <w:r w:rsidR="00DD607F" w:rsidRPr="007F5A8A">
        <w:t>suspeitas</w:t>
      </w:r>
      <w:r w:rsidR="00DB3D88" w:rsidRPr="007F5A8A">
        <w:t xml:space="preserve"> de o serem</w:t>
      </w:r>
      <w:r w:rsidR="00DD607F" w:rsidRPr="007F5A8A">
        <w:t xml:space="preserve"> ou apercebidas</w:t>
      </w:r>
      <w:r w:rsidRPr="007F5A8A">
        <w:t xml:space="preserve"> como tal, e planearam realizar esses ataques em 11 de fevereiro de 2023 e nos dias anteriores e posteriores a esta data, na qual é celebrad</w:t>
      </w:r>
      <w:r w:rsidR="00DD607F" w:rsidRPr="007F5A8A">
        <w:t>o</w:t>
      </w:r>
      <w:r w:rsidRPr="007F5A8A">
        <w:t xml:space="preserve"> o designado Dia da Honra, um evento anual em Budapeste que comemora uma tentativa de fuga das tropas nazis sitiadas em</w:t>
      </w:r>
      <w:r w:rsidR="00920190" w:rsidRPr="007F5A8A">
        <w:t> </w:t>
      </w:r>
      <w:r w:rsidRPr="007F5A8A">
        <w:t>1945 e que constitui um ponto de encontro para o movimento neonazi europeu</w:t>
      </w:r>
      <w:r w:rsidR="00920190" w:rsidRPr="007F5A8A">
        <w:t>; considerando que</w:t>
      </w:r>
      <w:r w:rsidRPr="007F5A8A">
        <w:t xml:space="preserve">, de acordo com o pedido,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viajou para a Hungria para participar nesses ataques coordenados e neles se envolveu nos dias 10 e 11 de fevereiro de 2023</w:t>
      </w:r>
      <w:r w:rsidR="00920190" w:rsidRPr="007F5A8A">
        <w:t>; considerando que</w:t>
      </w:r>
      <w:r w:rsidRPr="007F5A8A">
        <w:t xml:space="preserve"> houve relatos de altercações e incidentes de violência cometidos pelas pessoas que celebraram o designado Dia da Honra</w:t>
      </w:r>
      <w:r w:rsidR="00920190" w:rsidRPr="007F5A8A">
        <w:t>; considerando que</w:t>
      </w:r>
      <w:r w:rsidRPr="007F5A8A">
        <w:t xml:space="preserve"> o Tribunal Regional de Budapeste</w:t>
      </w:r>
      <w:r w:rsidR="00AA0D16" w:rsidRPr="007F5A8A">
        <w:t>-Capital</w:t>
      </w:r>
      <w:r w:rsidRPr="007F5A8A">
        <w:t xml:space="preserve"> </w:t>
      </w:r>
      <w:r w:rsidR="00CF2EBC" w:rsidRPr="007F5A8A">
        <w:t xml:space="preserve">mencionou, no entanto, </w:t>
      </w:r>
      <w:r w:rsidRPr="007F5A8A">
        <w:t xml:space="preserve">não ter conhecimento de nenhuns atos violentos cometidos pelos participantes na comemoração </w:t>
      </w:r>
      <w:r w:rsidR="00CF2EBC" w:rsidRPr="007F5A8A">
        <w:t xml:space="preserve">de 2023 </w:t>
      </w:r>
      <w:r w:rsidRPr="007F5A8A">
        <w:t>do</w:t>
      </w:r>
      <w:r w:rsidR="00CF2EBC" w:rsidRPr="007F5A8A">
        <w:t xml:space="preserve"> </w:t>
      </w:r>
      <w:r w:rsidR="004B6D6E" w:rsidRPr="007F5A8A">
        <w:t>designado</w:t>
      </w:r>
      <w:r w:rsidRPr="007F5A8A">
        <w:t xml:space="preserve"> Dia da Honra que tivessem levado à tomada de medidas contra </w:t>
      </w:r>
      <w:r w:rsidR="00CF2EBC" w:rsidRPr="007F5A8A">
        <w:t>tais participantes</w:t>
      </w:r>
      <w:r w:rsidRPr="007F5A8A">
        <w:t xml:space="preserve">, com exceção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e outros dois arguidos no processo;</w:t>
      </w:r>
    </w:p>
    <w:p w14:paraId="22520FE5" w14:textId="5ED38121" w:rsidR="006F0D46" w:rsidRPr="007F5A8A" w:rsidRDefault="006F0D46" w:rsidP="006F0D46">
      <w:pPr>
        <w:pStyle w:val="NormalHanging12a"/>
      </w:pPr>
      <w:r w:rsidRPr="007F5A8A">
        <w:t>C.</w:t>
      </w:r>
      <w:r w:rsidRPr="007F5A8A">
        <w:tab/>
        <w:t xml:space="preserve">Considerando que, de acordo com o pedido,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, um dos três arguidos no processo, foi acusada de três tentativas de agressão que causaram lesões corporais potencialmente fatais, cometidas no quadro de uma organização criminosa, em conformidade com a primeira parte da secção 164(8) e em violação da secção164(1) da Lei C de 2012 sobre o Código Penal húngaro, duas vezes como coautora e uma vez como cúmplice</w:t>
      </w:r>
      <w:r w:rsidR="00920190" w:rsidRPr="007F5A8A">
        <w:t>; considerando que</w:t>
      </w:r>
      <w:r w:rsidRPr="007F5A8A">
        <w:t xml:space="preserve"> os atos alegadamente cometidos por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constituem, por conseguinte, infrações penais ao abrigo do Código Penal húngaro;</w:t>
      </w:r>
    </w:p>
    <w:p w14:paraId="413883E1" w14:textId="12B46731" w:rsidR="006F0D46" w:rsidRPr="007F5A8A" w:rsidRDefault="006F0D46" w:rsidP="006F0D46">
      <w:pPr>
        <w:pStyle w:val="NormalHanging12a"/>
        <w:rPr>
          <w:szCs w:val="24"/>
          <w:shd w:val="clear" w:color="auto" w:fill="FFFFFF"/>
        </w:rPr>
      </w:pPr>
      <w:r w:rsidRPr="007F5A8A">
        <w:t>D.</w:t>
      </w:r>
      <w:r w:rsidRPr="007F5A8A">
        <w:tab/>
      </w:r>
      <w:r w:rsidRPr="007F5A8A">
        <w:rPr>
          <w:shd w:val="clear" w:color="auto" w:fill="FFFFFF"/>
        </w:rPr>
        <w:t xml:space="preserve">Considerando que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</w:t>
      </w:r>
      <w:r w:rsidRPr="007F5A8A">
        <w:rPr>
          <w:shd w:val="clear" w:color="auto" w:fill="FFFFFF"/>
        </w:rPr>
        <w:t xml:space="preserve">foi eleita deputada ao Parlamento </w:t>
      </w:r>
      <w:r w:rsidR="00712752" w:rsidRPr="007F5A8A">
        <w:rPr>
          <w:shd w:val="clear" w:color="auto" w:fill="FFFFFF"/>
        </w:rPr>
        <w:t xml:space="preserve">Europeu </w:t>
      </w:r>
      <w:r w:rsidRPr="007F5A8A">
        <w:rPr>
          <w:shd w:val="clear" w:color="auto" w:fill="FFFFFF"/>
        </w:rPr>
        <w:t xml:space="preserve">nas eleições europeias de </w:t>
      </w:r>
      <w:r w:rsidR="00712752" w:rsidRPr="007F5A8A">
        <w:rPr>
          <w:shd w:val="clear" w:color="auto" w:fill="FFFFFF"/>
        </w:rPr>
        <w:t xml:space="preserve">junho de </w:t>
      </w:r>
      <w:r w:rsidRPr="007F5A8A">
        <w:rPr>
          <w:shd w:val="clear" w:color="auto" w:fill="FFFFFF"/>
        </w:rPr>
        <w:t>2024;</w:t>
      </w:r>
    </w:p>
    <w:p w14:paraId="302837B7" w14:textId="2C174327" w:rsidR="006F0D46" w:rsidRPr="007F5A8A" w:rsidRDefault="006F0D46" w:rsidP="006F0D46">
      <w:pPr>
        <w:pStyle w:val="NormalHanging12a"/>
      </w:pPr>
      <w:r w:rsidRPr="007F5A8A">
        <w:t>E.</w:t>
      </w:r>
      <w:r w:rsidRPr="007F5A8A">
        <w:tab/>
        <w:t xml:space="preserve">Considerando que as alegadas infrações penais </w:t>
      </w:r>
      <w:r w:rsidR="002D2660" w:rsidRPr="007F5A8A">
        <w:t>não constituem</w:t>
      </w:r>
      <w:r w:rsidR="00DD607F" w:rsidRPr="007F5A8A">
        <w:t xml:space="preserve"> </w:t>
      </w:r>
      <w:r w:rsidR="0085340B" w:rsidRPr="007F5A8A">
        <w:t xml:space="preserve">uma opinião expressa ou um </w:t>
      </w:r>
      <w:r w:rsidRPr="007F5A8A">
        <w:t xml:space="preserve">voto </w:t>
      </w:r>
      <w:r w:rsidR="0085340B" w:rsidRPr="007F5A8A">
        <w:t xml:space="preserve">emitido </w:t>
      </w:r>
      <w:r w:rsidRPr="007F5A8A">
        <w:t xml:space="preserve">por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no exercício das suas funções</w:t>
      </w:r>
      <w:r w:rsidR="0085340B" w:rsidRPr="007F5A8A">
        <w:t>,</w:t>
      </w:r>
      <w:r w:rsidRPr="007F5A8A">
        <w:t xml:space="preserve"> na aceção do artigo 8.º do Protocolo n.º 7 relativo aos Privilégios e Imunidades da União Europeia</w:t>
      </w:r>
      <w:r w:rsidR="00D56F42" w:rsidRPr="007F5A8A">
        <w:t xml:space="preserve">, nem o pedido subsequente de levantamento da imunidade de </w:t>
      </w:r>
      <w:proofErr w:type="spellStart"/>
      <w:r w:rsidR="00D56F42" w:rsidRPr="007F5A8A">
        <w:t>Ilaria</w:t>
      </w:r>
      <w:proofErr w:type="spellEnd"/>
      <w:r w:rsidR="00D56F42" w:rsidRPr="007F5A8A">
        <w:t xml:space="preserve"> </w:t>
      </w:r>
      <w:proofErr w:type="spellStart"/>
      <w:r w:rsidR="00D56F42" w:rsidRPr="007F5A8A">
        <w:t>Salis</w:t>
      </w:r>
      <w:proofErr w:type="spellEnd"/>
      <w:r w:rsidR="00D56F42" w:rsidRPr="007F5A8A">
        <w:t xml:space="preserve"> está relacionado com tal opinião ou voto</w:t>
      </w:r>
      <w:r w:rsidRPr="007F5A8A">
        <w:t>;</w:t>
      </w:r>
    </w:p>
    <w:p w14:paraId="11EE2D51" w14:textId="77777777" w:rsidR="006F0D46" w:rsidRPr="007F5A8A" w:rsidRDefault="006F0D46" w:rsidP="006F0D46">
      <w:pPr>
        <w:pStyle w:val="NormalHanging12a"/>
        <w:rPr>
          <w:spacing w:val="-4"/>
        </w:rPr>
      </w:pPr>
      <w:r w:rsidRPr="007F5A8A">
        <w:t>F.</w:t>
      </w:r>
      <w:r w:rsidRPr="007F5A8A">
        <w:tab/>
        <w:t>Considerando que o artigo 9.º do Protocolo n.º 7 relativo aos Privilégios e Imunidades da União Europeia estabelece que os deputados ao Parlamento Europeu beneficiam, no território nacional do seu Estado-Membro, das imunidades reconhecidas aos membros do Parlamento do seu país e, no território de qualquer outro Estado-Membro, da não sujeição a qualquer medida de detenção e a qualquer procedimento judicial;</w:t>
      </w:r>
    </w:p>
    <w:p w14:paraId="794D3AFD" w14:textId="12320385" w:rsidR="006F0D46" w:rsidRPr="007F5A8A" w:rsidRDefault="006F0D46" w:rsidP="006F0D46">
      <w:pPr>
        <w:pStyle w:val="NormalHanging12a"/>
      </w:pPr>
      <w:r w:rsidRPr="007F5A8A">
        <w:t>G.</w:t>
      </w:r>
      <w:r w:rsidRPr="007F5A8A">
        <w:tab/>
        <w:t xml:space="preserve">Considerando que, nos termos do artigo 5.º, n.º 2, do seu Regimento, a imunidade parlamentar não é um privilégio pessoal dos deputados, mas sim uma garantia da </w:t>
      </w:r>
      <w:r w:rsidRPr="007F5A8A">
        <w:lastRenderedPageBreak/>
        <w:t>independência do Parlamento</w:t>
      </w:r>
      <w:r w:rsidR="005A7CAF" w:rsidRPr="007F5A8A">
        <w:t xml:space="preserve"> Europeu</w:t>
      </w:r>
      <w:r w:rsidRPr="007F5A8A">
        <w:t xml:space="preserve"> como um todo, e dos seus membros;</w:t>
      </w:r>
    </w:p>
    <w:p w14:paraId="22DCEF74" w14:textId="77777777" w:rsidR="006F0D46" w:rsidRPr="007F5A8A" w:rsidRDefault="006F0D46" w:rsidP="006F0D46">
      <w:pPr>
        <w:pStyle w:val="NormalHanging12a"/>
      </w:pPr>
      <w:r w:rsidRPr="007F5A8A">
        <w:t>H.</w:t>
      </w:r>
      <w:r w:rsidRPr="007F5A8A">
        <w:tab/>
        <w:t>Considerando que decorre da jurisprudência do Tribunal de Justiça da União Europeia que o Parlamento dispõe de um «amplo poder de apreciação quanto à orientação que entende dar a uma decisão na sequência de um pedido de levantamento da imunidade [...], devido ao caráter político que essa decisão reveste»</w:t>
      </w:r>
      <w:r w:rsidRPr="007F5A8A">
        <w:rPr>
          <w:vertAlign w:val="superscript"/>
        </w:rPr>
        <w:footnoteReference w:id="2"/>
      </w:r>
      <w:r w:rsidRPr="007F5A8A">
        <w:t>;</w:t>
      </w:r>
    </w:p>
    <w:p w14:paraId="10DAEC37" w14:textId="2BE26774" w:rsidR="006F0D46" w:rsidRPr="007F5A8A" w:rsidRDefault="006F0D46" w:rsidP="006F0D46">
      <w:pPr>
        <w:pStyle w:val="NormalHanging12a"/>
      </w:pPr>
      <w:r w:rsidRPr="007F5A8A">
        <w:t>I.</w:t>
      </w:r>
      <w:r w:rsidRPr="007F5A8A">
        <w:tab/>
        <w:t xml:space="preserve">Considerando que, no exercício desse amplo poder discricionário, o Parlamento entendeu, neste caso particular, que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foi sujeita a condições e medidas de detenção severas no decurso do processo penal que lhe foi instaurado</w:t>
      </w:r>
      <w:r w:rsidR="00920190" w:rsidRPr="007F5A8A">
        <w:t>; considerando que</w:t>
      </w:r>
      <w:r w:rsidRPr="007F5A8A">
        <w:t xml:space="preserve"> o Tribunal Regional de Budapeste</w:t>
      </w:r>
      <w:r w:rsidR="00AA0D16" w:rsidRPr="007F5A8A">
        <w:t>-Capital</w:t>
      </w:r>
      <w:r w:rsidRPr="007F5A8A">
        <w:t xml:space="preserve"> não tem conhecimento de nenhuns atos violentos cometidos por outros participantes, em particular aqueles que comemoraram o designado Dia da Honra em 2023, que tenham levado à tomada de medidas contra os mesmos</w:t>
      </w:r>
      <w:r w:rsidR="00920190" w:rsidRPr="007F5A8A">
        <w:t>; considerando que</w:t>
      </w:r>
      <w:r w:rsidRPr="007F5A8A">
        <w:t>, por conseguinte, se afigura que existem dúvidas que não poderiam ter sido dissipadas quanto às informações recebidas</w:t>
      </w:r>
      <w:r w:rsidR="00920190" w:rsidRPr="007F5A8A">
        <w:t>; considerando que</w:t>
      </w:r>
      <w:r w:rsidRPr="007F5A8A">
        <w:t xml:space="preserve"> o objetivo subjacente ao processo e ao pedido subsequente parece, por conseguinte, ser a obtenção do silêncio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 xml:space="preserve"> devido às suas opiniões políticas e ativismo de longa data, em particular ao opor-se à comemoração neonazi anual autorizada a ter lugar em Budapeste, que também estão na base do seu envolvimento e atividade política na sua qualidade de deputada ao Parlamento Europeu;</w:t>
      </w:r>
    </w:p>
    <w:p w14:paraId="39A4C0DD" w14:textId="27A7A3AF" w:rsidR="006F0D46" w:rsidRPr="007F5A8A" w:rsidRDefault="006F0D46" w:rsidP="006F0D46">
      <w:pPr>
        <w:pStyle w:val="NormalHanging12a"/>
      </w:pPr>
      <w:r w:rsidRPr="007F5A8A">
        <w:t>J.</w:t>
      </w:r>
      <w:r w:rsidRPr="007F5A8A">
        <w:tab/>
        <w:t xml:space="preserve">Considerando que, no caso em apreço, parece poder presumir-se a existência de </w:t>
      </w:r>
      <w:proofErr w:type="spellStart"/>
      <w:r w:rsidRPr="007F5A8A">
        <w:rPr>
          <w:i/>
          <w:iCs/>
        </w:rPr>
        <w:t>fumus</w:t>
      </w:r>
      <w:proofErr w:type="spellEnd"/>
      <w:r w:rsidRPr="007F5A8A">
        <w:rPr>
          <w:i/>
          <w:iCs/>
        </w:rPr>
        <w:t xml:space="preserve"> </w:t>
      </w:r>
      <w:proofErr w:type="spellStart"/>
      <w:r w:rsidRPr="007F5A8A">
        <w:rPr>
          <w:i/>
          <w:iCs/>
        </w:rPr>
        <w:t>persecutionis</w:t>
      </w:r>
      <w:proofErr w:type="spellEnd"/>
      <w:r w:rsidRPr="007F5A8A">
        <w:t>, ou seja, de um «elemento concreto»</w:t>
      </w:r>
      <w:r w:rsidRPr="007F5A8A">
        <w:rPr>
          <w:vertAlign w:val="superscript"/>
        </w:rPr>
        <w:footnoteReference w:id="3"/>
      </w:r>
      <w:r w:rsidRPr="007F5A8A">
        <w:t xml:space="preserve"> de que a intenção subjacente ao processo judicial em questão é prejudicar a atividade política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, em particular a sua qualidade de deputada ao Parlamento Europeu;</w:t>
      </w:r>
    </w:p>
    <w:p w14:paraId="0087B1AF" w14:textId="77777777" w:rsidR="006F0D46" w:rsidRPr="007F5A8A" w:rsidRDefault="006F0D46" w:rsidP="006F0D46">
      <w:pPr>
        <w:pStyle w:val="NormalHanging12a"/>
      </w:pPr>
      <w:r w:rsidRPr="007F5A8A">
        <w:t>K.</w:t>
      </w:r>
      <w:r w:rsidRPr="007F5A8A">
        <w:tab/>
        <w:t>Considerando, por um lado, que o Parlamento não pode ser equiparado a um tribunal e que, por outro, o deputado, no contexto de um processo de levantamento da imunidade, não pode ser considerado «arguido»</w:t>
      </w:r>
      <w:r w:rsidRPr="007F5A8A">
        <w:rPr>
          <w:rStyle w:val="FootnoteReference"/>
          <w:color w:val="000000"/>
        </w:rPr>
        <w:footnoteReference w:id="4"/>
      </w:r>
      <w:r w:rsidRPr="007F5A8A">
        <w:t>;</w:t>
      </w:r>
    </w:p>
    <w:p w14:paraId="70B8406B" w14:textId="77777777" w:rsidR="006F0D46" w:rsidRPr="007F5A8A" w:rsidRDefault="006F0D46" w:rsidP="006F0D46">
      <w:pPr>
        <w:pStyle w:val="NormalHanging12a"/>
      </w:pPr>
      <w:r w:rsidRPr="007F5A8A">
        <w:t>1.</w:t>
      </w:r>
      <w:r w:rsidRPr="007F5A8A">
        <w:tab/>
        <w:t xml:space="preserve">Decide não levantar a imunidade de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;</w:t>
      </w:r>
    </w:p>
    <w:p w14:paraId="678C2B67" w14:textId="653F428B" w:rsidR="00821CA9" w:rsidRPr="007F5A8A" w:rsidRDefault="006F0D46" w:rsidP="00821CA9">
      <w:pPr>
        <w:pStyle w:val="NormalHanging12a"/>
      </w:pPr>
      <w:r w:rsidRPr="007F5A8A">
        <w:t>2.</w:t>
      </w:r>
      <w:r w:rsidRPr="007F5A8A">
        <w:tab/>
        <w:t xml:space="preserve">Encarrega a sua Presidente de transmitir de imediato a presente decisão, bem como o relatório da sua comissão </w:t>
      </w:r>
      <w:r w:rsidR="00712752" w:rsidRPr="007F5A8A">
        <w:t>competente</w:t>
      </w:r>
      <w:r w:rsidRPr="007F5A8A">
        <w:t xml:space="preserve">, à autoridade competente da Hungria e a </w:t>
      </w:r>
      <w:proofErr w:type="spellStart"/>
      <w:r w:rsidRPr="007F5A8A">
        <w:t>Ilaria</w:t>
      </w:r>
      <w:proofErr w:type="spellEnd"/>
      <w:r w:rsidRPr="007F5A8A">
        <w:t xml:space="preserve"> </w:t>
      </w:r>
      <w:proofErr w:type="spellStart"/>
      <w:r w:rsidRPr="007F5A8A">
        <w:t>Salis</w:t>
      </w:r>
      <w:proofErr w:type="spellEnd"/>
      <w:r w:rsidRPr="007F5A8A">
        <w:t>.</w:t>
      </w:r>
    </w:p>
    <w:sectPr w:rsidR="00821CA9" w:rsidRPr="007F5A8A" w:rsidSect="00821C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31436" w14:textId="77777777" w:rsidR="008872A1" w:rsidRPr="00821CA9" w:rsidRDefault="008872A1">
      <w:r w:rsidRPr="00821CA9">
        <w:separator/>
      </w:r>
    </w:p>
  </w:endnote>
  <w:endnote w:type="continuationSeparator" w:id="0">
    <w:p w14:paraId="46EAE3A8" w14:textId="77777777" w:rsidR="008872A1" w:rsidRPr="00821CA9" w:rsidRDefault="008872A1">
      <w:r w:rsidRPr="00821C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31DF2" w14:textId="77777777" w:rsidR="00064002" w:rsidRPr="00821C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B3634" w14:textId="77777777" w:rsidR="00064002" w:rsidRPr="00821C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585E" w14:textId="77777777" w:rsidR="00064002" w:rsidRPr="00821C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A6CC7" w14:textId="77777777" w:rsidR="008872A1" w:rsidRPr="00821CA9" w:rsidRDefault="008872A1">
      <w:r w:rsidRPr="00821CA9">
        <w:separator/>
      </w:r>
    </w:p>
  </w:footnote>
  <w:footnote w:type="continuationSeparator" w:id="0">
    <w:p w14:paraId="4CCBF0AC" w14:textId="77777777" w:rsidR="008872A1" w:rsidRPr="00821CA9" w:rsidRDefault="008872A1">
      <w:r w:rsidRPr="00821CA9">
        <w:continuationSeparator/>
      </w:r>
    </w:p>
  </w:footnote>
  <w:footnote w:id="1">
    <w:p w14:paraId="05EBB30C" w14:textId="180F9467" w:rsidR="006F0D46" w:rsidRPr="00821CA9" w:rsidRDefault="006F0D46" w:rsidP="00821CA9">
      <w:pPr>
        <w:pStyle w:val="FootnoteText"/>
        <w:ind w:left="567" w:hanging="567"/>
        <w:rPr>
          <w:sz w:val="24"/>
          <w:lang w:val="pt-PT"/>
        </w:rPr>
      </w:pPr>
      <w:r w:rsidRPr="00821CA9">
        <w:rPr>
          <w:rStyle w:val="FootnoteReference"/>
          <w:sz w:val="24"/>
          <w:lang w:val="pt-PT"/>
        </w:rPr>
        <w:footnoteRef/>
      </w:r>
      <w:r w:rsidR="00821CA9" w:rsidRPr="00821CA9">
        <w:rPr>
          <w:sz w:val="24"/>
          <w:lang w:val="pt-PT"/>
        </w:rPr>
        <w:t xml:space="preserve"> </w:t>
      </w:r>
      <w:r w:rsidR="00821CA9" w:rsidRPr="00821CA9">
        <w:rPr>
          <w:sz w:val="24"/>
          <w:lang w:val="pt-PT"/>
        </w:rPr>
        <w:tab/>
      </w:r>
      <w:r w:rsidRPr="00821CA9">
        <w:rPr>
          <w:sz w:val="24"/>
          <w:lang w:val="pt-PT"/>
        </w:rPr>
        <w:t xml:space="preserve">Acórdão do Tribunal de Justiça de 21 de outubro de 2008, Marra/De </w:t>
      </w:r>
      <w:proofErr w:type="spellStart"/>
      <w:r w:rsidRPr="00821CA9">
        <w:rPr>
          <w:sz w:val="24"/>
          <w:lang w:val="pt-PT"/>
        </w:rPr>
        <w:t>Gregorio</w:t>
      </w:r>
      <w:proofErr w:type="spellEnd"/>
      <w:r w:rsidRPr="00821CA9">
        <w:rPr>
          <w:sz w:val="24"/>
          <w:lang w:val="pt-PT"/>
        </w:rPr>
        <w:t xml:space="preserve"> e Clemente, C</w:t>
      </w:r>
      <w:r w:rsidRPr="00821CA9">
        <w:rPr>
          <w:sz w:val="24"/>
          <w:lang w:val="pt-PT"/>
        </w:rPr>
        <w:noBreakHyphen/>
        <w:t>200/07 e C</w:t>
      </w:r>
      <w:r w:rsidRPr="00821CA9">
        <w:rPr>
          <w:sz w:val="24"/>
          <w:lang w:val="pt-PT"/>
        </w:rPr>
        <w:noBreakHyphen/>
        <w:t xml:space="preserve">201/07, ECLI:EU:C:2008:579; Acórdão do Tribunal Geral de 19 de março de 2010, </w:t>
      </w:r>
      <w:proofErr w:type="spellStart"/>
      <w:r w:rsidRPr="00821CA9">
        <w:rPr>
          <w:sz w:val="24"/>
          <w:lang w:val="pt-PT"/>
        </w:rPr>
        <w:t>Gollnisch</w:t>
      </w:r>
      <w:proofErr w:type="spellEnd"/>
      <w:r w:rsidRPr="00821CA9">
        <w:rPr>
          <w:sz w:val="24"/>
          <w:lang w:val="pt-PT"/>
        </w:rPr>
        <w:t>/Parlamento Europeu, T</w:t>
      </w:r>
      <w:r w:rsidRPr="00821CA9">
        <w:rPr>
          <w:sz w:val="24"/>
          <w:lang w:val="pt-PT"/>
        </w:rPr>
        <w:noBreakHyphen/>
        <w:t xml:space="preserve">42/06, ECLI:EU:T:2010:102; Acórdão do Tribunal de Justiça de 6 de setembro de 2011, </w:t>
      </w:r>
      <w:proofErr w:type="spellStart"/>
      <w:r w:rsidRPr="00821CA9">
        <w:rPr>
          <w:sz w:val="24"/>
          <w:lang w:val="pt-PT"/>
        </w:rPr>
        <w:t>Patriciello</w:t>
      </w:r>
      <w:proofErr w:type="spellEnd"/>
      <w:r w:rsidRPr="00821CA9">
        <w:rPr>
          <w:sz w:val="24"/>
          <w:lang w:val="pt-PT"/>
        </w:rPr>
        <w:t>, C</w:t>
      </w:r>
      <w:r w:rsidRPr="00821CA9">
        <w:rPr>
          <w:sz w:val="24"/>
          <w:lang w:val="pt-PT"/>
        </w:rPr>
        <w:noBreakHyphen/>
        <w:t xml:space="preserve">163/10, ECLI:EU:C:2011:543; Acórdão do Tribunal Geral de 17 de janeiro de 2013, </w:t>
      </w:r>
      <w:proofErr w:type="spellStart"/>
      <w:r w:rsidRPr="00821CA9">
        <w:rPr>
          <w:sz w:val="24"/>
          <w:lang w:val="pt-PT"/>
        </w:rPr>
        <w:t>Gollnisch</w:t>
      </w:r>
      <w:proofErr w:type="spellEnd"/>
      <w:r w:rsidRPr="00821CA9">
        <w:rPr>
          <w:sz w:val="24"/>
          <w:lang w:val="pt-PT"/>
        </w:rPr>
        <w:t>/Parlamento Europeu, T</w:t>
      </w:r>
      <w:r w:rsidRPr="00821CA9">
        <w:rPr>
          <w:sz w:val="24"/>
          <w:lang w:val="pt-PT"/>
        </w:rPr>
        <w:noBreakHyphen/>
        <w:t>346/11 e T</w:t>
      </w:r>
      <w:r w:rsidRPr="00821CA9">
        <w:rPr>
          <w:sz w:val="24"/>
          <w:lang w:val="pt-PT"/>
        </w:rPr>
        <w:noBreakHyphen/>
        <w:t xml:space="preserve">347/11, ECLI:EU:T:2013:23; Acórdão do Tribunal de Justiça de 19 de dezembro de 2019, </w:t>
      </w:r>
      <w:proofErr w:type="spellStart"/>
      <w:r w:rsidRPr="00821CA9">
        <w:rPr>
          <w:sz w:val="24"/>
          <w:lang w:val="pt-PT"/>
        </w:rPr>
        <w:t>Junqueras</w:t>
      </w:r>
      <w:proofErr w:type="spellEnd"/>
      <w:r w:rsidRPr="00821CA9">
        <w:rPr>
          <w:sz w:val="24"/>
          <w:lang w:val="pt-PT"/>
        </w:rPr>
        <w:t xml:space="preserve"> </w:t>
      </w:r>
      <w:proofErr w:type="spellStart"/>
      <w:r w:rsidRPr="00821CA9">
        <w:rPr>
          <w:sz w:val="24"/>
          <w:lang w:val="pt-PT"/>
        </w:rPr>
        <w:t>Vies</w:t>
      </w:r>
      <w:proofErr w:type="spellEnd"/>
      <w:r w:rsidRPr="00821CA9">
        <w:rPr>
          <w:sz w:val="24"/>
          <w:lang w:val="pt-PT"/>
        </w:rPr>
        <w:t>, C</w:t>
      </w:r>
      <w:r w:rsidRPr="00821CA9">
        <w:rPr>
          <w:sz w:val="24"/>
          <w:lang w:val="pt-PT"/>
        </w:rPr>
        <w:noBreakHyphen/>
        <w:t xml:space="preserve">502/19, ECLI:EU:C:2019:1115; Acórdão do Tribunal Geral de 5 de julho de 2023, </w:t>
      </w:r>
      <w:proofErr w:type="spellStart"/>
      <w:r w:rsidRPr="00821CA9">
        <w:rPr>
          <w:sz w:val="24"/>
          <w:lang w:val="pt-PT"/>
        </w:rPr>
        <w:t>Puigdemont</w:t>
      </w:r>
      <w:proofErr w:type="spellEnd"/>
      <w:r w:rsidRPr="00821CA9">
        <w:rPr>
          <w:sz w:val="24"/>
          <w:lang w:val="pt-PT"/>
        </w:rPr>
        <w:t xml:space="preserve"> i </w:t>
      </w:r>
      <w:proofErr w:type="spellStart"/>
      <w:r w:rsidRPr="00821CA9">
        <w:rPr>
          <w:sz w:val="24"/>
          <w:lang w:val="pt-PT"/>
        </w:rPr>
        <w:t>Casamajó</w:t>
      </w:r>
      <w:proofErr w:type="spellEnd"/>
      <w:r w:rsidRPr="00821CA9">
        <w:rPr>
          <w:sz w:val="24"/>
          <w:lang w:val="pt-PT"/>
        </w:rPr>
        <w:t xml:space="preserve"> e o./Parlamento Europeu, T</w:t>
      </w:r>
      <w:r w:rsidRPr="00821CA9">
        <w:rPr>
          <w:sz w:val="24"/>
          <w:lang w:val="pt-PT"/>
        </w:rPr>
        <w:noBreakHyphen/>
        <w:t>272/21, ECLI:EU:T:2023:373.</w:t>
      </w:r>
    </w:p>
  </w:footnote>
  <w:footnote w:id="2">
    <w:p w14:paraId="3E408DBB" w14:textId="739EFD97" w:rsidR="006F0D46" w:rsidRPr="00821CA9" w:rsidRDefault="006F0D46" w:rsidP="00821CA9">
      <w:pPr>
        <w:pStyle w:val="FootnoteText"/>
        <w:ind w:left="567" w:hanging="567"/>
        <w:rPr>
          <w:sz w:val="24"/>
          <w:lang w:val="pt-PT"/>
        </w:rPr>
      </w:pPr>
      <w:r w:rsidRPr="00821CA9">
        <w:rPr>
          <w:rStyle w:val="FootnoteReference"/>
          <w:sz w:val="24"/>
          <w:lang w:val="pt-PT"/>
        </w:rPr>
        <w:footnoteRef/>
      </w:r>
      <w:r w:rsidR="00821CA9" w:rsidRPr="00821CA9">
        <w:rPr>
          <w:sz w:val="24"/>
          <w:lang w:val="pt-PT"/>
        </w:rPr>
        <w:t xml:space="preserve"> </w:t>
      </w:r>
      <w:r w:rsidR="00821CA9" w:rsidRPr="00821CA9">
        <w:rPr>
          <w:sz w:val="24"/>
          <w:lang w:val="pt-PT"/>
        </w:rPr>
        <w:tab/>
      </w:r>
      <w:r w:rsidRPr="00821CA9">
        <w:rPr>
          <w:sz w:val="24"/>
          <w:lang w:val="pt-PT"/>
        </w:rPr>
        <w:t xml:space="preserve">Acórdão do Tribunal Geral de 17 de janeiro de 2013, </w:t>
      </w:r>
      <w:proofErr w:type="spellStart"/>
      <w:r w:rsidRPr="00821CA9">
        <w:rPr>
          <w:sz w:val="24"/>
          <w:lang w:val="pt-PT"/>
        </w:rPr>
        <w:t>Gollnisch</w:t>
      </w:r>
      <w:proofErr w:type="spellEnd"/>
      <w:r w:rsidRPr="00821CA9">
        <w:rPr>
          <w:sz w:val="24"/>
          <w:lang w:val="pt-PT"/>
        </w:rPr>
        <w:t>/Parlamento Europeu, T</w:t>
      </w:r>
      <w:r w:rsidRPr="00821CA9">
        <w:rPr>
          <w:sz w:val="24"/>
          <w:lang w:val="pt-PT"/>
        </w:rPr>
        <w:noBreakHyphen/>
        <w:t>346/11 e T</w:t>
      </w:r>
      <w:r w:rsidRPr="00821CA9">
        <w:rPr>
          <w:sz w:val="24"/>
          <w:lang w:val="pt-PT"/>
        </w:rPr>
        <w:noBreakHyphen/>
        <w:t>347/11, ECLI:</w:t>
      </w:r>
      <w:proofErr w:type="gramStart"/>
      <w:r w:rsidRPr="00821CA9">
        <w:rPr>
          <w:sz w:val="24"/>
          <w:lang w:val="pt-PT"/>
        </w:rPr>
        <w:t>EU:T</w:t>
      </w:r>
      <w:proofErr w:type="gramEnd"/>
      <w:r w:rsidRPr="00821CA9">
        <w:rPr>
          <w:sz w:val="24"/>
          <w:lang w:val="pt-PT"/>
        </w:rPr>
        <w:t>:2013:23, n.º 59, e jurisprudência referida.</w:t>
      </w:r>
    </w:p>
  </w:footnote>
  <w:footnote w:id="3">
    <w:p w14:paraId="4D8A0584" w14:textId="2C6A5470" w:rsidR="006F0D46" w:rsidRPr="00821CA9" w:rsidRDefault="006F0D46" w:rsidP="00821CA9">
      <w:pPr>
        <w:pStyle w:val="FootnoteText"/>
        <w:ind w:left="567" w:hanging="567"/>
        <w:rPr>
          <w:sz w:val="24"/>
          <w:lang w:val="pt-PT"/>
        </w:rPr>
      </w:pPr>
      <w:r w:rsidRPr="00821CA9">
        <w:rPr>
          <w:rStyle w:val="FootnoteReference"/>
          <w:sz w:val="24"/>
          <w:lang w:val="pt-PT"/>
        </w:rPr>
        <w:footnoteRef/>
      </w:r>
      <w:r w:rsidR="00821CA9" w:rsidRPr="00821CA9">
        <w:rPr>
          <w:sz w:val="24"/>
          <w:lang w:val="pt-PT"/>
        </w:rPr>
        <w:t xml:space="preserve"> </w:t>
      </w:r>
      <w:r w:rsidR="00821CA9" w:rsidRPr="00821CA9">
        <w:rPr>
          <w:sz w:val="24"/>
          <w:lang w:val="pt-PT"/>
        </w:rPr>
        <w:tab/>
      </w:r>
      <w:r w:rsidRPr="00821CA9">
        <w:rPr>
          <w:sz w:val="24"/>
          <w:lang w:val="pt-PT"/>
        </w:rPr>
        <w:t xml:space="preserve">Acórdão do Tribunal de Justiça de 17 de setembro de 2020, </w:t>
      </w:r>
      <w:proofErr w:type="spellStart"/>
      <w:r w:rsidRPr="00821CA9">
        <w:rPr>
          <w:sz w:val="24"/>
          <w:lang w:val="pt-PT"/>
        </w:rPr>
        <w:t>Troszczynski</w:t>
      </w:r>
      <w:proofErr w:type="spellEnd"/>
      <w:r w:rsidRPr="00821CA9">
        <w:rPr>
          <w:sz w:val="24"/>
          <w:lang w:val="pt-PT"/>
        </w:rPr>
        <w:t>/Parlamento Europeu, C</w:t>
      </w:r>
      <w:r w:rsidRPr="00821CA9">
        <w:rPr>
          <w:sz w:val="24"/>
          <w:lang w:val="pt-PT"/>
        </w:rPr>
        <w:noBreakHyphen/>
        <w:t>12/19, ECLI: EU:C:2020:725, n.º 26.</w:t>
      </w:r>
    </w:p>
  </w:footnote>
  <w:footnote w:id="4">
    <w:p w14:paraId="430276D7" w14:textId="6285A7D9" w:rsidR="006F0D46" w:rsidRPr="00821CA9" w:rsidRDefault="006F0D46" w:rsidP="00821CA9">
      <w:pPr>
        <w:pStyle w:val="FootnoteText"/>
        <w:ind w:left="567" w:hanging="567"/>
        <w:rPr>
          <w:sz w:val="24"/>
          <w:lang w:val="pt-PT"/>
        </w:rPr>
      </w:pPr>
      <w:r w:rsidRPr="00821CA9">
        <w:rPr>
          <w:rStyle w:val="FootnoteReference"/>
          <w:sz w:val="24"/>
          <w:lang w:val="pt-PT"/>
        </w:rPr>
        <w:footnoteRef/>
      </w:r>
      <w:r w:rsidR="00821CA9" w:rsidRPr="00821CA9">
        <w:rPr>
          <w:sz w:val="24"/>
          <w:lang w:val="pt-PT"/>
        </w:rPr>
        <w:t xml:space="preserve"> </w:t>
      </w:r>
      <w:r w:rsidR="00821CA9" w:rsidRPr="00821CA9">
        <w:rPr>
          <w:sz w:val="24"/>
          <w:lang w:val="pt-PT"/>
        </w:rPr>
        <w:tab/>
      </w:r>
      <w:r w:rsidRPr="00821CA9">
        <w:rPr>
          <w:sz w:val="24"/>
          <w:lang w:val="pt-PT"/>
        </w:rPr>
        <w:t xml:space="preserve">Acórdão do Tribunal Geral de 30 de abril de 2019, </w:t>
      </w:r>
      <w:proofErr w:type="spellStart"/>
      <w:r w:rsidRPr="00821CA9">
        <w:rPr>
          <w:sz w:val="24"/>
          <w:lang w:val="pt-PT"/>
        </w:rPr>
        <w:t>Briois</w:t>
      </w:r>
      <w:proofErr w:type="spellEnd"/>
      <w:r w:rsidRPr="00821CA9">
        <w:rPr>
          <w:sz w:val="24"/>
          <w:lang w:val="pt-PT"/>
        </w:rPr>
        <w:t>/Parlamento Europeu, T</w:t>
      </w:r>
      <w:r w:rsidRPr="00821CA9">
        <w:rPr>
          <w:sz w:val="24"/>
          <w:lang w:val="pt-PT"/>
        </w:rPr>
        <w:noBreakHyphen/>
        <w:t>214/18, ECLI:</w:t>
      </w:r>
      <w:proofErr w:type="gramStart"/>
      <w:r w:rsidRPr="00821CA9">
        <w:rPr>
          <w:sz w:val="24"/>
          <w:lang w:val="pt-PT"/>
        </w:rPr>
        <w:t>EU:T</w:t>
      </w:r>
      <w:proofErr w:type="gramEnd"/>
      <w:r w:rsidRPr="00821CA9">
        <w:rPr>
          <w:sz w:val="24"/>
          <w:lang w:val="pt-P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99F6C" w14:textId="77777777" w:rsidR="00064002" w:rsidRPr="00821C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C909A" w14:textId="77777777" w:rsidR="00064002" w:rsidRPr="00821C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382DC" w14:textId="77777777" w:rsidR="00064002" w:rsidRPr="00821C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6054427">
    <w:abstractNumId w:val="9"/>
  </w:num>
  <w:num w:numId="2" w16cid:durableId="1088161946">
    <w:abstractNumId w:val="9"/>
  </w:num>
  <w:num w:numId="3" w16cid:durableId="2053993264">
    <w:abstractNumId w:val="7"/>
  </w:num>
  <w:num w:numId="4" w16cid:durableId="22176987">
    <w:abstractNumId w:val="7"/>
  </w:num>
  <w:num w:numId="5" w16cid:durableId="238947827">
    <w:abstractNumId w:val="6"/>
  </w:num>
  <w:num w:numId="6" w16cid:durableId="719859530">
    <w:abstractNumId w:val="6"/>
  </w:num>
  <w:num w:numId="7" w16cid:durableId="1775204413">
    <w:abstractNumId w:val="5"/>
  </w:num>
  <w:num w:numId="8" w16cid:durableId="245723435">
    <w:abstractNumId w:val="5"/>
  </w:num>
  <w:num w:numId="9" w16cid:durableId="508370049">
    <w:abstractNumId w:val="4"/>
  </w:num>
  <w:num w:numId="10" w16cid:durableId="203368990">
    <w:abstractNumId w:val="4"/>
  </w:num>
  <w:num w:numId="11" w16cid:durableId="1907913708">
    <w:abstractNumId w:val="8"/>
  </w:num>
  <w:num w:numId="12" w16cid:durableId="2078547420">
    <w:abstractNumId w:val="8"/>
  </w:num>
  <w:num w:numId="13" w16cid:durableId="1607274936">
    <w:abstractNumId w:val="3"/>
  </w:num>
  <w:num w:numId="14" w16cid:durableId="1326664186">
    <w:abstractNumId w:val="3"/>
  </w:num>
  <w:num w:numId="15" w16cid:durableId="1616406573">
    <w:abstractNumId w:val="2"/>
  </w:num>
  <w:num w:numId="16" w16cid:durableId="1385910855">
    <w:abstractNumId w:val="2"/>
  </w:num>
  <w:num w:numId="17" w16cid:durableId="214857697">
    <w:abstractNumId w:val="1"/>
  </w:num>
  <w:num w:numId="18" w16cid:durableId="692457151">
    <w:abstractNumId w:val="1"/>
  </w:num>
  <w:num w:numId="19" w16cid:durableId="336231611">
    <w:abstractNumId w:val="0"/>
  </w:num>
  <w:num w:numId="20" w16cid:durableId="1706522">
    <w:abstractNumId w:val="0"/>
  </w:num>
  <w:num w:numId="21" w16cid:durableId="1245526371">
    <w:abstractNumId w:val="9"/>
  </w:num>
  <w:num w:numId="22" w16cid:durableId="1881242344">
    <w:abstractNumId w:val="7"/>
  </w:num>
  <w:num w:numId="23" w16cid:durableId="1098138185">
    <w:abstractNumId w:val="6"/>
  </w:num>
  <w:num w:numId="24" w16cid:durableId="166020751">
    <w:abstractNumId w:val="5"/>
  </w:num>
  <w:num w:numId="25" w16cid:durableId="754714834">
    <w:abstractNumId w:val="4"/>
  </w:num>
  <w:num w:numId="26" w16cid:durableId="886182953">
    <w:abstractNumId w:val="8"/>
  </w:num>
  <w:num w:numId="27" w16cid:durableId="358360638">
    <w:abstractNumId w:val="3"/>
  </w:num>
  <w:num w:numId="28" w16cid:durableId="1814449953">
    <w:abstractNumId w:val="2"/>
  </w:num>
  <w:num w:numId="29" w16cid:durableId="1393313369">
    <w:abstractNumId w:val="1"/>
  </w:num>
  <w:num w:numId="30" w16cid:durableId="539628305">
    <w:abstractNumId w:val="0"/>
  </w:num>
  <w:num w:numId="31" w16cid:durableId="1255741988">
    <w:abstractNumId w:val="9"/>
  </w:num>
  <w:num w:numId="32" w16cid:durableId="999625694">
    <w:abstractNumId w:val="7"/>
  </w:num>
  <w:num w:numId="33" w16cid:durableId="1907833858">
    <w:abstractNumId w:val="6"/>
  </w:num>
  <w:num w:numId="34" w16cid:durableId="1499804930">
    <w:abstractNumId w:val="5"/>
  </w:num>
  <w:num w:numId="35" w16cid:durableId="543948869">
    <w:abstractNumId w:val="4"/>
  </w:num>
  <w:num w:numId="36" w16cid:durableId="1572619894">
    <w:abstractNumId w:val="8"/>
  </w:num>
  <w:num w:numId="37" w16cid:durableId="1484198805">
    <w:abstractNumId w:val="3"/>
  </w:num>
  <w:num w:numId="38" w16cid:durableId="559755671">
    <w:abstractNumId w:val="2"/>
  </w:num>
  <w:num w:numId="39" w16cid:durableId="1145393028">
    <w:abstractNumId w:val="1"/>
  </w:num>
  <w:num w:numId="40" w16cid:durableId="736631759">
    <w:abstractNumId w:val="0"/>
  </w:num>
  <w:num w:numId="41" w16cid:durableId="380372225">
    <w:abstractNumId w:val="10"/>
  </w:num>
  <w:num w:numId="42" w16cid:durableId="1346907338">
    <w:abstractNumId w:val="10"/>
  </w:num>
  <w:num w:numId="43" w16cid:durableId="250162786">
    <w:abstractNumId w:val="10"/>
  </w:num>
  <w:num w:numId="44" w16cid:durableId="20679465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3/2025"/>
    <w:docVar w:name="dvlangue" w:val="PT"/>
    <w:docVar w:name="dvnumam" w:val="0"/>
    <w:docVar w:name="dvpe" w:val="774.380"/>
    <w:docVar w:name="dvrapporteur" w:val="Relator: "/>
    <w:docVar w:name="dvtitre" w:val="Decisão do Parlamento Europeu, de ... de ... de 2025,_x000d__x000a_ sobre o pedido de levantamento da imunidade de Ilaria Salis(2024/2086(IMM))"/>
  </w:docVars>
  <w:rsids>
    <w:rsidRoot w:val="008872A1"/>
    <w:rsid w:val="00002272"/>
    <w:rsid w:val="00054B41"/>
    <w:rsid w:val="00064002"/>
    <w:rsid w:val="000677B9"/>
    <w:rsid w:val="000831BA"/>
    <w:rsid w:val="000A42CC"/>
    <w:rsid w:val="000E7DD9"/>
    <w:rsid w:val="000F2479"/>
    <w:rsid w:val="0010095E"/>
    <w:rsid w:val="00125B37"/>
    <w:rsid w:val="00187494"/>
    <w:rsid w:val="001F32AE"/>
    <w:rsid w:val="002767FF"/>
    <w:rsid w:val="002807FD"/>
    <w:rsid w:val="002B18FE"/>
    <w:rsid w:val="002B5493"/>
    <w:rsid w:val="002D266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6D6E"/>
    <w:rsid w:val="004C0004"/>
    <w:rsid w:val="004C5D52"/>
    <w:rsid w:val="0050519A"/>
    <w:rsid w:val="005072A1"/>
    <w:rsid w:val="00514517"/>
    <w:rsid w:val="00545827"/>
    <w:rsid w:val="00560270"/>
    <w:rsid w:val="005A7CAF"/>
    <w:rsid w:val="005C2568"/>
    <w:rsid w:val="005F1B17"/>
    <w:rsid w:val="006037C0"/>
    <w:rsid w:val="006631B6"/>
    <w:rsid w:val="00680577"/>
    <w:rsid w:val="006F0D46"/>
    <w:rsid w:val="006F74FA"/>
    <w:rsid w:val="00712752"/>
    <w:rsid w:val="00731ADD"/>
    <w:rsid w:val="00734777"/>
    <w:rsid w:val="00747932"/>
    <w:rsid w:val="00751A4A"/>
    <w:rsid w:val="00756632"/>
    <w:rsid w:val="00762C74"/>
    <w:rsid w:val="00786EC0"/>
    <w:rsid w:val="007B7A46"/>
    <w:rsid w:val="007D1690"/>
    <w:rsid w:val="007E22AD"/>
    <w:rsid w:val="007E24C8"/>
    <w:rsid w:val="007F5A8A"/>
    <w:rsid w:val="00817416"/>
    <w:rsid w:val="00821CA9"/>
    <w:rsid w:val="00836D2F"/>
    <w:rsid w:val="00842779"/>
    <w:rsid w:val="0085340B"/>
    <w:rsid w:val="00865F67"/>
    <w:rsid w:val="00881A7B"/>
    <w:rsid w:val="008840E5"/>
    <w:rsid w:val="008872A1"/>
    <w:rsid w:val="00887B3E"/>
    <w:rsid w:val="008C2AC6"/>
    <w:rsid w:val="00920190"/>
    <w:rsid w:val="00930C23"/>
    <w:rsid w:val="0093193B"/>
    <w:rsid w:val="009509D8"/>
    <w:rsid w:val="00950B64"/>
    <w:rsid w:val="00981893"/>
    <w:rsid w:val="009C2337"/>
    <w:rsid w:val="00A12521"/>
    <w:rsid w:val="00A1687D"/>
    <w:rsid w:val="00A43E52"/>
    <w:rsid w:val="00A4678D"/>
    <w:rsid w:val="00A778C7"/>
    <w:rsid w:val="00AA0D16"/>
    <w:rsid w:val="00AB441E"/>
    <w:rsid w:val="00AB6293"/>
    <w:rsid w:val="00AE0928"/>
    <w:rsid w:val="00AF3B82"/>
    <w:rsid w:val="00B04AD0"/>
    <w:rsid w:val="00B12E95"/>
    <w:rsid w:val="00B22876"/>
    <w:rsid w:val="00B558F0"/>
    <w:rsid w:val="00BD48FE"/>
    <w:rsid w:val="00BD7BD8"/>
    <w:rsid w:val="00BE6ADC"/>
    <w:rsid w:val="00C05BFE"/>
    <w:rsid w:val="00C23CD4"/>
    <w:rsid w:val="00C35782"/>
    <w:rsid w:val="00C61C0C"/>
    <w:rsid w:val="00C941CB"/>
    <w:rsid w:val="00CC2357"/>
    <w:rsid w:val="00CF071A"/>
    <w:rsid w:val="00CF2EBC"/>
    <w:rsid w:val="00D058B8"/>
    <w:rsid w:val="00D56C11"/>
    <w:rsid w:val="00D56F42"/>
    <w:rsid w:val="00D834A0"/>
    <w:rsid w:val="00D872DF"/>
    <w:rsid w:val="00D91E21"/>
    <w:rsid w:val="00D96315"/>
    <w:rsid w:val="00DA7FCD"/>
    <w:rsid w:val="00DB3D88"/>
    <w:rsid w:val="00DC5E01"/>
    <w:rsid w:val="00DD4141"/>
    <w:rsid w:val="00DD607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087B9"/>
  <w15:chartTrackingRefBased/>
  <w15:docId w15:val="{4DDD62DC-E8DF-4813-9038-77B7A532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F0D46"/>
    <w:pPr>
      <w:spacing w:after="240"/>
      <w:ind w:left="567" w:hanging="567"/>
    </w:pPr>
  </w:style>
  <w:style w:type="paragraph" w:customStyle="1" w:styleId="EPComma">
    <w:name w:val="EPComma"/>
    <w:basedOn w:val="Normal"/>
    <w:rsid w:val="006F0D46"/>
    <w:pPr>
      <w:spacing w:before="480" w:after="240"/>
    </w:pPr>
  </w:style>
  <w:style w:type="paragraph" w:styleId="Revision">
    <w:name w:val="Revision"/>
    <w:hidden/>
    <w:uiPriority w:val="99"/>
    <w:semiHidden/>
    <w:rsid w:val="00920190"/>
    <w:rPr>
      <w:sz w:val="24"/>
      <w:lang w:val="pt-PT"/>
    </w:rPr>
  </w:style>
  <w:style w:type="character" w:styleId="CommentReference">
    <w:name w:val="annotation reference"/>
    <w:basedOn w:val="DefaultParagraphFont"/>
    <w:rsid w:val="009C23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23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2337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9C2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2337"/>
    <w:rPr>
      <w:b/>
      <w:bCs/>
      <w:lang w:val="pt-PT"/>
    </w:rPr>
  </w:style>
  <w:style w:type="character" w:styleId="Hyperlink">
    <w:name w:val="Hyperlink"/>
    <w:basedOn w:val="DefaultParagraphFont"/>
    <w:rsid w:val="00836D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5831</Characters>
  <Application>Microsoft Office Word</Application>
  <DocSecurity>0</DocSecurity>
  <Lines>215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2025-10-07T12:27:00Z</dcterms:created>
  <dcterms:modified xsi:type="dcterms:W3CDTF">2025-10-07T12:27:00Z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P10_TA(2025)0206_</vt:lpwstr>
  </property>
  <property fmtid="{D5CDD505-2E9C-101B-9397-08002B2CF9AE}" pid="4" name="&lt;Type&gt;">
    <vt:lpwstr>RR</vt:lpwstr>
  </property>
</Properties>
</file>