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64A7" w14:paraId="07B6158A" w14:textId="77777777" w:rsidTr="0010095E">
        <w:trPr>
          <w:trHeight w:hRule="exact" w:val="1418"/>
        </w:trPr>
        <w:tc>
          <w:tcPr>
            <w:tcW w:w="6804" w:type="dxa"/>
            <w:shd w:val="clear" w:color="auto" w:fill="auto"/>
            <w:vAlign w:val="center"/>
          </w:tcPr>
          <w:p w14:paraId="58E233CA" w14:textId="77777777" w:rsidR="00751A4A" w:rsidRPr="00ED64A7" w:rsidRDefault="00026792" w:rsidP="0010095E">
            <w:pPr>
              <w:pStyle w:val="EPName"/>
            </w:pPr>
            <w:r w:rsidRPr="00ED64A7">
              <w:t>Evropski parlament</w:t>
            </w:r>
          </w:p>
          <w:p w14:paraId="78E9B1FC" w14:textId="77777777" w:rsidR="00751A4A" w:rsidRPr="00ED64A7" w:rsidRDefault="005F1B17" w:rsidP="005F1B17">
            <w:pPr>
              <w:pStyle w:val="EPTerm"/>
              <w:rPr>
                <w:rStyle w:val="HideTWBExt"/>
                <w:noProof w:val="0"/>
                <w:vanish w:val="0"/>
                <w:color w:val="auto"/>
              </w:rPr>
            </w:pPr>
            <w:r w:rsidRPr="00ED64A7">
              <w:t>2024</w:t>
            </w:r>
            <w:r w:rsidR="00817416" w:rsidRPr="00ED64A7">
              <w:t>-202</w:t>
            </w:r>
            <w:r w:rsidRPr="00ED64A7">
              <w:t>9</w:t>
            </w:r>
          </w:p>
        </w:tc>
        <w:tc>
          <w:tcPr>
            <w:tcW w:w="2268" w:type="dxa"/>
            <w:shd w:val="clear" w:color="auto" w:fill="auto"/>
          </w:tcPr>
          <w:p w14:paraId="385DF613" w14:textId="77777777" w:rsidR="00751A4A" w:rsidRPr="00ED64A7" w:rsidRDefault="00187494" w:rsidP="0010095E">
            <w:pPr>
              <w:pStyle w:val="EPLogo"/>
            </w:pPr>
            <w:r w:rsidRPr="00ED64A7">
              <w:rPr>
                <w:noProof/>
                <w:lang w:eastAsia="ja-JP"/>
              </w:rPr>
              <w:drawing>
                <wp:inline distT="0" distB="0" distL="0" distR="0" wp14:anchorId="17072E24" wp14:editId="0981CF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65126A" w14:textId="77777777" w:rsidR="00D058B8" w:rsidRPr="00ED64A7" w:rsidRDefault="00D058B8" w:rsidP="004C5D52">
      <w:pPr>
        <w:pStyle w:val="LineTop"/>
      </w:pPr>
    </w:p>
    <w:p w14:paraId="1380710F" w14:textId="77777777" w:rsidR="00680577" w:rsidRPr="00ED64A7" w:rsidRDefault="00026792" w:rsidP="00680577">
      <w:pPr>
        <w:pStyle w:val="EPBodyTA1"/>
      </w:pPr>
      <w:r w:rsidRPr="00ED64A7">
        <w:t>SPREJETA BESEDILA</w:t>
      </w:r>
    </w:p>
    <w:p w14:paraId="417E0C5D" w14:textId="77777777" w:rsidR="00D058B8" w:rsidRPr="00ED64A7" w:rsidRDefault="00D058B8" w:rsidP="00D058B8">
      <w:pPr>
        <w:pStyle w:val="LineBottom"/>
      </w:pPr>
    </w:p>
    <w:p w14:paraId="1BAD234E" w14:textId="7FB560C5" w:rsidR="00026792" w:rsidRPr="00ED64A7" w:rsidRDefault="00026792" w:rsidP="00026792">
      <w:pPr>
        <w:pStyle w:val="ATHeading1"/>
      </w:pPr>
      <w:bookmarkStart w:id="0" w:name="TANumber"/>
      <w:r w:rsidRPr="00ED64A7">
        <w:t>P10_TA(2025)</w:t>
      </w:r>
      <w:bookmarkEnd w:id="0"/>
      <w:r w:rsidR="00D55023">
        <w:t>0206</w:t>
      </w:r>
    </w:p>
    <w:p w14:paraId="5C3020CE" w14:textId="4D4BADD7" w:rsidR="00026792" w:rsidRPr="00ED64A7" w:rsidRDefault="00905709" w:rsidP="00026792">
      <w:pPr>
        <w:pStyle w:val="ATHeading2"/>
      </w:pPr>
      <w:bookmarkStart w:id="1" w:name="title"/>
      <w:r w:rsidRPr="00905709">
        <w:t xml:space="preserve">Zahteva za odvzem </w:t>
      </w:r>
      <w:r w:rsidR="00026792" w:rsidRPr="00ED64A7">
        <w:t>imunitete Ilarii Salis</w:t>
      </w:r>
      <w:bookmarkEnd w:id="1"/>
    </w:p>
    <w:p w14:paraId="3D6764E4" w14:textId="35FE0275" w:rsidR="00026792" w:rsidRPr="00ED64A7" w:rsidRDefault="00026792" w:rsidP="00026792">
      <w:pPr>
        <w:rPr>
          <w:i/>
          <w:vanish/>
        </w:rPr>
      </w:pPr>
      <w:r w:rsidRPr="00ED64A7">
        <w:rPr>
          <w:i/>
        </w:rPr>
        <w:fldChar w:fldCharType="begin"/>
      </w:r>
      <w:r w:rsidRPr="00ED64A7">
        <w:rPr>
          <w:i/>
        </w:rPr>
        <w:instrText xml:space="preserve"> TC"(</w:instrText>
      </w:r>
      <w:bookmarkStart w:id="2" w:name="DocNumber"/>
      <w:r w:rsidRPr="00ED64A7">
        <w:rPr>
          <w:i/>
        </w:rPr>
        <w:instrText>A10-0183/2025</w:instrText>
      </w:r>
      <w:bookmarkEnd w:id="2"/>
      <w:r w:rsidRPr="00ED64A7">
        <w:rPr>
          <w:i/>
        </w:rPr>
        <w:instrText xml:space="preserve"> - Poročevalec: Ilhan Kyuchyuk)"\l3 \n&gt; \* MERGEFORMAT </w:instrText>
      </w:r>
      <w:r w:rsidRPr="00ED64A7">
        <w:rPr>
          <w:i/>
        </w:rPr>
        <w:fldChar w:fldCharType="end"/>
      </w:r>
    </w:p>
    <w:p w14:paraId="42964171" w14:textId="77777777" w:rsidR="00026792" w:rsidRPr="00ED64A7" w:rsidRDefault="00026792" w:rsidP="00026792">
      <w:pPr>
        <w:rPr>
          <w:vanish/>
        </w:rPr>
      </w:pPr>
      <w:bookmarkStart w:id="3" w:name="Commission"/>
      <w:r w:rsidRPr="00ED64A7">
        <w:rPr>
          <w:vanish/>
        </w:rPr>
        <w:t>Odbor za pravne zadeve</w:t>
      </w:r>
      <w:bookmarkEnd w:id="3"/>
    </w:p>
    <w:p w14:paraId="195951E3" w14:textId="77777777" w:rsidR="00026792" w:rsidRPr="00ED64A7" w:rsidRDefault="00026792" w:rsidP="00026792">
      <w:pPr>
        <w:rPr>
          <w:vanish/>
        </w:rPr>
      </w:pPr>
      <w:bookmarkStart w:id="4" w:name="PE"/>
      <w:r w:rsidRPr="00ED64A7">
        <w:rPr>
          <w:vanish/>
        </w:rPr>
        <w:t>PE774.380</w:t>
      </w:r>
      <w:bookmarkEnd w:id="4"/>
    </w:p>
    <w:p w14:paraId="12A73008" w14:textId="1779E86D" w:rsidR="00026792" w:rsidRPr="00ED64A7" w:rsidRDefault="00026792" w:rsidP="00026792">
      <w:pPr>
        <w:pStyle w:val="ATHeading3"/>
      </w:pPr>
      <w:bookmarkStart w:id="5" w:name="Sujet"/>
      <w:r w:rsidRPr="00ED64A7">
        <w:t xml:space="preserve">Sklep Evropskega parlamenta z dne </w:t>
      </w:r>
      <w:r w:rsidR="00905709" w:rsidRPr="00905709">
        <w:t xml:space="preserve">7. oktobra 2025 </w:t>
      </w:r>
      <w:r w:rsidRPr="00ED64A7">
        <w:t>o zahtevi za odvzem imunitete Ilarii Salis</w:t>
      </w:r>
      <w:bookmarkEnd w:id="5"/>
      <w:r w:rsidRPr="00ED64A7">
        <w:t xml:space="preserve"> </w:t>
      </w:r>
      <w:bookmarkStart w:id="6" w:name="References"/>
      <w:r w:rsidRPr="00ED64A7">
        <w:t>(2024/2086(IMM))</w:t>
      </w:r>
      <w:bookmarkEnd w:id="6"/>
    </w:p>
    <w:p w14:paraId="7825AEE7" w14:textId="77777777" w:rsidR="000469E2" w:rsidRPr="00ED64A7" w:rsidRDefault="000469E2" w:rsidP="000469E2">
      <w:pPr>
        <w:pStyle w:val="EPComma"/>
      </w:pPr>
      <w:bookmarkStart w:id="7" w:name="TextBodyBegin"/>
      <w:bookmarkEnd w:id="7"/>
      <w:r w:rsidRPr="00ED64A7">
        <w:rPr>
          <w:i/>
        </w:rPr>
        <w:t>Evropski parlament,</w:t>
      </w:r>
    </w:p>
    <w:p w14:paraId="58B3B985" w14:textId="09021C82" w:rsidR="000469E2" w:rsidRPr="00ED64A7" w:rsidRDefault="000469E2" w:rsidP="000469E2">
      <w:pPr>
        <w:pStyle w:val="NormalHanging12a"/>
      </w:pPr>
      <w:r w:rsidRPr="00ED64A7">
        <w:t>–</w:t>
      </w:r>
      <w:r w:rsidRPr="00ED64A7">
        <w:tab/>
        <w:t xml:space="preserve">ob upoštevanju zahteve za odvzem imunitete Ilarii Salis, ki jo je dne 10. oktobra 2024 posredovalo </w:t>
      </w:r>
      <w:r w:rsidR="000E5EFB">
        <w:t>regionalno</w:t>
      </w:r>
      <w:r w:rsidR="000E5EFB" w:rsidRPr="00ED64A7">
        <w:t xml:space="preserve"> </w:t>
      </w:r>
      <w:r w:rsidRPr="00ED64A7">
        <w:t xml:space="preserve">sodišče v Budimpešti v zvezi s kazenskim postopkom v teku </w:t>
      </w:r>
      <w:r w:rsidRPr="00732BD7">
        <w:t>pred tem sodiščem</w:t>
      </w:r>
      <w:r w:rsidRPr="00ED64A7">
        <w:t xml:space="preserve"> in ki je bila razglašena na plenarnem zasedanju 22. oktobra 2024,</w:t>
      </w:r>
    </w:p>
    <w:p w14:paraId="01E108D9" w14:textId="56A72CCE" w:rsidR="000469E2" w:rsidRPr="00ED64A7" w:rsidRDefault="000469E2" w:rsidP="000469E2">
      <w:pPr>
        <w:pStyle w:val="NormalHanging12a"/>
      </w:pPr>
      <w:r w:rsidRPr="00ED64A7">
        <w:t>–</w:t>
      </w:r>
      <w:r w:rsidRPr="00ED64A7">
        <w:tab/>
        <w:t xml:space="preserve">po </w:t>
      </w:r>
      <w:r w:rsidR="00505690">
        <w:t>zagovoru</w:t>
      </w:r>
      <w:r w:rsidR="00505690" w:rsidRPr="00ED64A7">
        <w:t xml:space="preserve"> </w:t>
      </w:r>
      <w:r w:rsidRPr="00ED64A7">
        <w:t xml:space="preserve">Ilarie Salis </w:t>
      </w:r>
      <w:r w:rsidRPr="00104710">
        <w:t>dne 13. februarja 2025</w:t>
      </w:r>
      <w:r w:rsidRPr="00ED64A7">
        <w:t xml:space="preserve"> in ob upoštevanju dokumentov, ki jih je predložila med zaslišanjem,</w:t>
      </w:r>
      <w:r w:rsidR="005E3379">
        <w:t xml:space="preserve"> </w:t>
      </w:r>
      <w:r w:rsidR="005E3379" w:rsidRPr="00ED64A7">
        <w:t>v skladu s členom 9(6) Poslovnika</w:t>
      </w:r>
      <w:r w:rsidR="005E3379">
        <w:t>,</w:t>
      </w:r>
    </w:p>
    <w:p w14:paraId="311D2508" w14:textId="666EAC81" w:rsidR="000469E2" w:rsidRPr="00ED64A7" w:rsidRDefault="000469E2" w:rsidP="000469E2">
      <w:pPr>
        <w:pStyle w:val="NormalHanging12a"/>
      </w:pPr>
      <w:r w:rsidRPr="00ED64A7">
        <w:t>–</w:t>
      </w:r>
      <w:r w:rsidRPr="00ED64A7">
        <w:tab/>
        <w:t xml:space="preserve">ob upoštevanju dodatnih informacij, ki jih je posredovalo </w:t>
      </w:r>
      <w:r w:rsidR="00884C5B">
        <w:t>regionalno</w:t>
      </w:r>
      <w:r w:rsidR="00884C5B" w:rsidRPr="00ED64A7">
        <w:t xml:space="preserve"> </w:t>
      </w:r>
      <w:r w:rsidRPr="00ED64A7">
        <w:t>sodišče v Budimpešti,</w:t>
      </w:r>
    </w:p>
    <w:p w14:paraId="4622603A" w14:textId="77777777" w:rsidR="000469E2" w:rsidRPr="00ED64A7" w:rsidRDefault="000469E2" w:rsidP="000469E2">
      <w:pPr>
        <w:pStyle w:val="NormalHanging12a"/>
      </w:pPr>
      <w:r w:rsidRPr="00ED64A7">
        <w:t>–</w:t>
      </w:r>
      <w:r w:rsidRPr="00ED64A7">
        <w:tab/>
        <w:t>ob upoštevanju členov 8 in 9 Protokola št. 7 o privilegijih in imunitetah Evropske unije ter člena 6(2) Akta o volitvah poslancev Evropskega parlamenta s splošnimi neposrednimi volitvami z dne 20. septembra 1976,</w:t>
      </w:r>
    </w:p>
    <w:p w14:paraId="2FD26404" w14:textId="77777777" w:rsidR="000469E2" w:rsidRPr="00ED64A7" w:rsidRDefault="000469E2" w:rsidP="000469E2">
      <w:pPr>
        <w:pStyle w:val="NormalHanging12a"/>
      </w:pPr>
      <w:r w:rsidRPr="00ED64A7">
        <w:t>–</w:t>
      </w:r>
      <w:r w:rsidRPr="00ED64A7">
        <w:tab/>
        <w:t>ob upoštevanju sodb Sodišča Evropske unije z dne 21. oktobra 2008, 19. marca 2010, 6. septembra 2011, 17. januarja 2013, 19. decembra 2019 in 5. julija 2023</w:t>
      </w:r>
      <w:r w:rsidRPr="00ED64A7">
        <w:rPr>
          <w:rStyle w:val="FootnoteReference"/>
          <w:color w:val="000000"/>
        </w:rPr>
        <w:footnoteReference w:id="1"/>
      </w:r>
      <w:r w:rsidRPr="00ED64A7">
        <w:t>,</w:t>
      </w:r>
    </w:p>
    <w:p w14:paraId="3553CA37" w14:textId="77777777" w:rsidR="000469E2" w:rsidRPr="00ED64A7" w:rsidRDefault="000469E2" w:rsidP="000469E2">
      <w:pPr>
        <w:pStyle w:val="NormalHanging12a"/>
      </w:pPr>
      <w:r w:rsidRPr="00ED64A7">
        <w:t>–</w:t>
      </w:r>
      <w:r w:rsidRPr="00ED64A7">
        <w:tab/>
        <w:t>ob upoštevanju člena 5(2), člena 6(1) in člena 9 Poslovnika,</w:t>
      </w:r>
    </w:p>
    <w:p w14:paraId="6A8174DF" w14:textId="77777777" w:rsidR="000469E2" w:rsidRPr="00ED64A7" w:rsidRDefault="000469E2" w:rsidP="000469E2">
      <w:pPr>
        <w:pStyle w:val="NormalHanging12a"/>
      </w:pPr>
      <w:r w:rsidRPr="00ED64A7">
        <w:t>–</w:t>
      </w:r>
      <w:r w:rsidRPr="00ED64A7">
        <w:tab/>
        <w:t>ob upoštevanju poročila Odbora za pravne zadeve (A10-0183/2025),</w:t>
      </w:r>
    </w:p>
    <w:p w14:paraId="036D8780" w14:textId="0746F1A0" w:rsidR="000469E2" w:rsidRPr="00ED64A7" w:rsidRDefault="000469E2" w:rsidP="000469E2">
      <w:pPr>
        <w:pStyle w:val="NormalHanging12a"/>
      </w:pPr>
      <w:r w:rsidRPr="00ED64A7">
        <w:lastRenderedPageBreak/>
        <w:t>A.</w:t>
      </w:r>
      <w:r w:rsidRPr="00ED64A7">
        <w:tab/>
        <w:t xml:space="preserve">ker je </w:t>
      </w:r>
      <w:r w:rsidR="00884C5B">
        <w:t>regionalno</w:t>
      </w:r>
      <w:r w:rsidR="00884C5B" w:rsidRPr="00ED64A7">
        <w:t xml:space="preserve"> </w:t>
      </w:r>
      <w:r w:rsidRPr="00ED64A7">
        <w:t xml:space="preserve">sodišče v Budimpešti </w:t>
      </w:r>
      <w:r w:rsidR="005E3379">
        <w:t xml:space="preserve">10. oktobra 2024 </w:t>
      </w:r>
      <w:r w:rsidRPr="00ED64A7">
        <w:t xml:space="preserve">vložilo zahtevo za odvzem imunitete poslanki Evropskega parlamenta Ilarii Salis, izvoljeni v Italiji, v zvezi s </w:t>
      </w:r>
      <w:r w:rsidR="005E3379">
        <w:t>kazenskim</w:t>
      </w:r>
      <w:r w:rsidR="005E3379" w:rsidRPr="00ED64A7">
        <w:t xml:space="preserve"> </w:t>
      </w:r>
      <w:r w:rsidRPr="00ED64A7">
        <w:t>postopkom v teku pred tem sodiščem</w:t>
      </w:r>
      <w:r w:rsidR="004705AD">
        <w:t>;</w:t>
      </w:r>
    </w:p>
    <w:p w14:paraId="1BF3EFFA" w14:textId="7497419E" w:rsidR="000469E2" w:rsidRPr="00ED64A7" w:rsidRDefault="000469E2" w:rsidP="000469E2">
      <w:pPr>
        <w:pStyle w:val="NormalHanging12a"/>
      </w:pPr>
      <w:r w:rsidRPr="00ED64A7">
        <w:t>B.</w:t>
      </w:r>
      <w:r w:rsidRPr="00ED64A7">
        <w:tab/>
        <w:t xml:space="preserve">ker sodišče v zahtevi navaja, da so se člani organizacije, ustanovljene v Nemčiji, leta 2022 domnevno odločili za izvedbo nasilnih usklajenih napadov v Budimpešti, in sicer zoper pristaše skrajne desnice ali neidentificirane osebe, za katere so domnevali ali sumili, da so pristaši skrajne desnice, te napade pa so načrtovali za 11. februar 2023 ter dan prej in dan pozneje, pri čemer na ta datum na Madžarskem obeležujejo t. i. dan časti, letno prireditev v Budimpešti, ki poteka v čast poskusu pobega obkoljene nacistične vojske leta 1945 in </w:t>
      </w:r>
      <w:r w:rsidRPr="003D036E">
        <w:t>pomeni priložnost za srečanje</w:t>
      </w:r>
      <w:r w:rsidRPr="00ED64A7">
        <w:t xml:space="preserve"> evropskih neonacistov; ker naj bi po navedbah v zahtevi Ilaria Salis odpotovala na Madžarsko, da bi sodelovala v teh usklajenih napadih in se jih je 10. in 11. februarja 2023 udeležila; ker se je poročalo o prepirih in primerih nasilja posameznikov, ki so </w:t>
      </w:r>
      <w:r w:rsidR="00100589" w:rsidRPr="00ED64A7">
        <w:t xml:space="preserve">obeleževali </w:t>
      </w:r>
      <w:r w:rsidRPr="00ED64A7">
        <w:t xml:space="preserve">t. i. dan časti; ker je </w:t>
      </w:r>
      <w:r w:rsidR="00884C5B" w:rsidRPr="00D55023">
        <w:t>regionalno</w:t>
      </w:r>
      <w:r w:rsidR="00884C5B" w:rsidRPr="00884C5B">
        <w:t xml:space="preserve"> </w:t>
      </w:r>
      <w:r w:rsidRPr="00884C5B">
        <w:t>sodišče v Budimpešti</w:t>
      </w:r>
      <w:r w:rsidRPr="00ED64A7">
        <w:t xml:space="preserve"> kljub temu navedlo, da ni bilo seznanjeno s tem, da bi naj kateri od udeležencev spominske slovesnosti</w:t>
      </w:r>
      <w:r w:rsidR="00100589">
        <w:t xml:space="preserve"> leta</w:t>
      </w:r>
      <w:r w:rsidRPr="00ED64A7">
        <w:t xml:space="preserve"> </w:t>
      </w:r>
      <w:r w:rsidR="00100589" w:rsidRPr="00ED64A7">
        <w:t xml:space="preserve">2023 </w:t>
      </w:r>
      <w:r w:rsidRPr="00ED64A7">
        <w:t xml:space="preserve">ob </w:t>
      </w:r>
      <w:r w:rsidR="00100589" w:rsidRPr="00ED64A7">
        <w:t xml:space="preserve">t. i. </w:t>
      </w:r>
      <w:r w:rsidRPr="00ED64A7">
        <w:t xml:space="preserve">dnevu časti storil nasilno dejanje, zaradi katerega bi bili zoper </w:t>
      </w:r>
      <w:r w:rsidR="00100589">
        <w:t>takih udeležencev</w:t>
      </w:r>
      <w:r w:rsidR="00100589" w:rsidRPr="00ED64A7">
        <w:t xml:space="preserve"> </w:t>
      </w:r>
      <w:r w:rsidRPr="00ED64A7">
        <w:t>sprejeti kakršni koli ukrepi, razen Ilarie Salis in dveh drugih obtožencev v tej zadevi;</w:t>
      </w:r>
    </w:p>
    <w:p w14:paraId="7849FF51" w14:textId="77777777" w:rsidR="000469E2" w:rsidRPr="00ED64A7" w:rsidRDefault="000469E2" w:rsidP="000469E2">
      <w:pPr>
        <w:pStyle w:val="NormalHanging12a"/>
      </w:pPr>
      <w:r w:rsidRPr="00ED64A7">
        <w:t>C.</w:t>
      </w:r>
      <w:r w:rsidRPr="00ED64A7">
        <w:tab/>
        <w:t xml:space="preserve">ker je v zahtevi navedeno tudi, da je Ilaria Salis, ki je ena od treh obtožencev v tej zadevi, v skladu s prvim delom člena 164(8) in ob kršitvi člena 164(1) zakona C madžarskega kazenskega zakonika iz leta 2012 obtožena, da je kot pripadnica hudodelske združbe sodelovala pri treh poskusih storitve kaznivega dejanja fizičnega nasilja, ki so povzročili smrtno nevarne telesne poškodbe, in sicer dvakrat kot </w:t>
      </w:r>
      <w:r w:rsidRPr="00B50022">
        <w:t>sostorilka</w:t>
      </w:r>
      <w:r w:rsidRPr="00ED64A7">
        <w:t>, enkrat pa kot udeleženka v ožjem smislu; ker gre pri dejanjih, ki naj bi jih storila Ilaria Salis, po madžarskem kazenskem zakoniku za kazniva dejanja;</w:t>
      </w:r>
    </w:p>
    <w:p w14:paraId="49D4BACA" w14:textId="69BD42BB" w:rsidR="000469E2" w:rsidRPr="00ED64A7" w:rsidRDefault="000469E2" w:rsidP="000469E2">
      <w:pPr>
        <w:pStyle w:val="NormalHanging12a"/>
        <w:rPr>
          <w:szCs w:val="24"/>
          <w:shd w:val="clear" w:color="auto" w:fill="FFFFFF"/>
        </w:rPr>
      </w:pPr>
      <w:r w:rsidRPr="00ED64A7">
        <w:t>D.</w:t>
      </w:r>
      <w:r w:rsidRPr="00ED64A7">
        <w:tab/>
      </w:r>
      <w:r w:rsidRPr="00ED64A7">
        <w:rPr>
          <w:shd w:val="clear" w:color="auto" w:fill="FFFFFF"/>
        </w:rPr>
        <w:t>ker je bila</w:t>
      </w:r>
      <w:r w:rsidRPr="00ED64A7">
        <w:t xml:space="preserve"> </w:t>
      </w:r>
      <w:r w:rsidRPr="00ED64A7">
        <w:rPr>
          <w:shd w:val="clear" w:color="auto" w:fill="FFFFFF"/>
        </w:rPr>
        <w:t xml:space="preserve">Ilaria Salis </w:t>
      </w:r>
      <w:r w:rsidR="005E3379" w:rsidRPr="00ED64A7">
        <w:t>izvoljena v Evropski parlament</w:t>
      </w:r>
      <w:r w:rsidR="005E3379">
        <w:t xml:space="preserve"> </w:t>
      </w:r>
      <w:r w:rsidRPr="00ED64A7">
        <w:rPr>
          <w:shd w:val="clear" w:color="auto" w:fill="FFFFFF"/>
        </w:rPr>
        <w:t>na evropskih volitvah</w:t>
      </w:r>
      <w:r w:rsidRPr="00ED64A7">
        <w:t xml:space="preserve"> leta 2024;</w:t>
      </w:r>
    </w:p>
    <w:p w14:paraId="010EB4AC" w14:textId="551E8CA6" w:rsidR="000469E2" w:rsidRPr="00ED64A7" w:rsidRDefault="000469E2" w:rsidP="000469E2">
      <w:pPr>
        <w:pStyle w:val="NormalHanging12a"/>
      </w:pPr>
      <w:r w:rsidRPr="00ED64A7">
        <w:t>E.</w:t>
      </w:r>
      <w:r w:rsidRPr="00ED64A7">
        <w:tab/>
        <w:t xml:space="preserve">ker </w:t>
      </w:r>
      <w:r w:rsidR="008A2E7D">
        <w:t>očitana</w:t>
      </w:r>
      <w:r w:rsidR="008A2E7D" w:rsidRPr="00ED64A7">
        <w:t xml:space="preserve"> </w:t>
      </w:r>
      <w:r w:rsidRPr="00ED64A7">
        <w:t>kazniva dejanja in posledična zahteva za odvzem imunitete</w:t>
      </w:r>
      <w:r w:rsidR="005E3379">
        <w:t xml:space="preserve"> Ilarii Salis</w:t>
      </w:r>
      <w:r w:rsidRPr="00ED64A7">
        <w:t xml:space="preserve"> niso povezana z mnenjem ali glasom, ki bi ga Ilaria Salis izrazila pri opravljanju svojih dolžnosti v smislu člena 8 Protokola št. 7 o privilegijih in imunitetah Evropske unije;</w:t>
      </w:r>
    </w:p>
    <w:p w14:paraId="2C35E36E" w14:textId="31FA7113" w:rsidR="000469E2" w:rsidRPr="00ED64A7" w:rsidRDefault="000469E2" w:rsidP="000469E2">
      <w:pPr>
        <w:pStyle w:val="NormalHanging12a"/>
        <w:rPr>
          <w:spacing w:val="-4"/>
        </w:rPr>
      </w:pPr>
      <w:r w:rsidRPr="00ED64A7">
        <w:t>F.</w:t>
      </w:r>
      <w:r w:rsidRPr="00ED64A7">
        <w:tab/>
        <w:t>ker poslanci Evropskega parlamenta v skladu s členom 9</w:t>
      </w:r>
      <w:r w:rsidR="00346911">
        <w:t>, prvi odstavek,</w:t>
      </w:r>
      <w:r w:rsidRPr="00ED64A7">
        <w:t xml:space="preserve"> Protokola št. 7 o privilegijih in imunitetah Evropske unije uživajo na ozemlju svoje države članice imunitete, priznane članom parlamenta te države, na ozemlju vseh drugih držav članic pa imuniteto pred kakršnim koli priporom in sodnim postopkom;</w:t>
      </w:r>
    </w:p>
    <w:p w14:paraId="2A62CE9A" w14:textId="0B922303" w:rsidR="000469E2" w:rsidRPr="00ED64A7" w:rsidRDefault="000469E2" w:rsidP="000469E2">
      <w:pPr>
        <w:pStyle w:val="NormalHanging12a"/>
      </w:pPr>
      <w:r w:rsidRPr="00ED64A7">
        <w:t>G.</w:t>
      </w:r>
      <w:r w:rsidRPr="00ED64A7">
        <w:tab/>
        <w:t xml:space="preserve">ker v skladu s členom 5(2) Poslovnika parlamentarna imuniteta ni osebni privilegij poslanca, temveč je jamstvo neodvisnosti </w:t>
      </w:r>
      <w:r w:rsidR="00090D1B">
        <w:t xml:space="preserve">Evropskega </w:t>
      </w:r>
      <w:r w:rsidR="004A3A71">
        <w:t>p</w:t>
      </w:r>
      <w:r w:rsidRPr="00ED64A7">
        <w:t>arlamenta kot celote in njegovih poslancev;</w:t>
      </w:r>
    </w:p>
    <w:p w14:paraId="2B9CAE8B" w14:textId="77777777" w:rsidR="000469E2" w:rsidRPr="00ED64A7" w:rsidRDefault="000469E2" w:rsidP="000469E2">
      <w:pPr>
        <w:pStyle w:val="NormalHanging12a"/>
      </w:pPr>
      <w:r w:rsidRPr="00ED64A7">
        <w:t>H.</w:t>
      </w:r>
      <w:r w:rsidRPr="00ED64A7">
        <w:tab/>
        <w:t>ker ima v skladu s sodno prakso Sodišča Evropske unije Parlament „[zelo] široko diskrecijsko pravico glede usmeritve odločitve v zvezi z zahtevo za odvzem [...] imunitete, saj je taka odločitev politična“</w:t>
      </w:r>
      <w:r w:rsidRPr="00ED64A7">
        <w:rPr>
          <w:vertAlign w:val="superscript"/>
        </w:rPr>
        <w:footnoteReference w:id="2"/>
      </w:r>
      <w:r w:rsidRPr="00ED64A7">
        <w:t>;</w:t>
      </w:r>
    </w:p>
    <w:p w14:paraId="34E0DC5B" w14:textId="0055EF1A" w:rsidR="000469E2" w:rsidRPr="00ED64A7" w:rsidRDefault="000469E2" w:rsidP="000469E2">
      <w:pPr>
        <w:pStyle w:val="NormalHanging12a"/>
      </w:pPr>
      <w:r w:rsidRPr="00ED64A7">
        <w:t>I.</w:t>
      </w:r>
      <w:r w:rsidRPr="00ED64A7">
        <w:tab/>
        <w:t xml:space="preserve">ker je Parlament pri uveljavljanju te široke diskrecijske pravice v tem primeru ugotovil, da je bila Ilaria Salis med kazenskim postopkom zoper njo izpostavljena strogim </w:t>
      </w:r>
      <w:r w:rsidRPr="00ED64A7">
        <w:lastRenderedPageBreak/>
        <w:t xml:space="preserve">razmeram in ukrepom v priporu; ker se zdi, da </w:t>
      </w:r>
      <w:r w:rsidR="004010A4">
        <w:t>regionalno</w:t>
      </w:r>
      <w:r w:rsidR="004010A4" w:rsidRPr="00ED64A7">
        <w:t xml:space="preserve"> </w:t>
      </w:r>
      <w:r w:rsidRPr="00ED64A7">
        <w:t>sodišče v Budimpešti ni seznanjeno s tem, da bi drugi udeleženci, zlasti tisti, ki so obeleževali t. i. dan časti 2023, izvajali nasilna dejanja, zaradi katerih bi bili proti njim sprejeti kakršni koli ukrepi; ker se zato zdi, da se v zvezi s prejetimi informacijami porajajo dvomi, ki jih ni bilo mogoče razbliniti; ker se zdi, da se je želelo s postopkom in zahtevo, ki mu je sledila, predvsem utišati Ilario Salis zaradi njene dolgoletne politične drže in aktivizma, predvsem pa nasprotovanja letni neonacistični spominski slovesnosti, ki je bila odobrena v Budimpešti, in je tudi v samem središču njenega delovanja in politične dejavnosti, ki jo izvaja kot poslanka Evropskega parlamenta;</w:t>
      </w:r>
    </w:p>
    <w:p w14:paraId="317266B0" w14:textId="75B06D1E" w:rsidR="000469E2" w:rsidRPr="00ED64A7" w:rsidRDefault="000469E2" w:rsidP="000469E2">
      <w:pPr>
        <w:pStyle w:val="NormalHanging12a"/>
      </w:pPr>
      <w:r w:rsidRPr="00ED64A7">
        <w:t>J.</w:t>
      </w:r>
      <w:r w:rsidRPr="00ED64A7">
        <w:tab/>
        <w:t xml:space="preserve">ker se zato zdi, da gre za </w:t>
      </w:r>
      <w:r w:rsidR="00F26FDE">
        <w:t>zadevo</w:t>
      </w:r>
      <w:r w:rsidRPr="00ED64A7">
        <w:t xml:space="preserve">, v </w:t>
      </w:r>
      <w:r w:rsidR="00F26FDE" w:rsidRPr="00ED64A7">
        <w:t>kate</w:t>
      </w:r>
      <w:r w:rsidR="00F26FDE">
        <w:t>ri</w:t>
      </w:r>
      <w:r w:rsidR="00F26FDE" w:rsidRPr="00ED64A7">
        <w:t xml:space="preserve"> </w:t>
      </w:r>
      <w:r w:rsidRPr="00ED64A7">
        <w:t xml:space="preserve">je mogoče domnevati, da je podan primer </w:t>
      </w:r>
      <w:r w:rsidRPr="00ED64A7">
        <w:rPr>
          <w:i/>
          <w:iCs/>
        </w:rPr>
        <w:t>fumus persecutionis</w:t>
      </w:r>
      <w:r w:rsidRPr="00ED64A7">
        <w:t xml:space="preserve">, </w:t>
      </w:r>
      <w:r w:rsidR="00F26FDE">
        <w:t>tj.</w:t>
      </w:r>
      <w:r w:rsidRPr="00ED64A7">
        <w:t xml:space="preserve"> „konkretni</w:t>
      </w:r>
      <w:r w:rsidR="00F26FDE">
        <w:t>h</w:t>
      </w:r>
      <w:r w:rsidRPr="00ED64A7">
        <w:t xml:space="preserve"> </w:t>
      </w:r>
      <w:r w:rsidR="00F26FDE" w:rsidRPr="00ED64A7">
        <w:t>element</w:t>
      </w:r>
      <w:r w:rsidR="00F26FDE">
        <w:t>ov</w:t>
      </w:r>
      <w:r w:rsidRPr="00ED64A7">
        <w:t>“</w:t>
      </w:r>
      <w:r w:rsidRPr="00ED64A7">
        <w:rPr>
          <w:vertAlign w:val="superscript"/>
        </w:rPr>
        <w:footnoteReference w:id="3"/>
      </w:r>
      <w:r w:rsidR="00F26FDE">
        <w:t>, ki</w:t>
      </w:r>
      <w:r w:rsidRPr="00ED64A7">
        <w:t xml:space="preserve"> kažejo, da bi lahko bil namen zadevnega sodnega postopka škodovati politični dejavnosti Ilarie Salis, ki jo izvaja kot poslanka Evropskega parlamenta;</w:t>
      </w:r>
    </w:p>
    <w:p w14:paraId="0CDA450C" w14:textId="00BDD7CE" w:rsidR="000469E2" w:rsidRPr="00ED64A7" w:rsidRDefault="000469E2" w:rsidP="000469E2">
      <w:pPr>
        <w:pStyle w:val="NormalHanging12a"/>
      </w:pPr>
      <w:r w:rsidRPr="00ED64A7">
        <w:t>K.</w:t>
      </w:r>
      <w:r w:rsidRPr="00ED64A7">
        <w:tab/>
      </w:r>
      <w:r w:rsidR="00192BEC">
        <w:t>ker</w:t>
      </w:r>
      <w:r w:rsidRPr="00ED64A7">
        <w:t xml:space="preserve"> Parlamenta ni mogoče enačiti s sodiščem in </w:t>
      </w:r>
      <w:r w:rsidR="00192BEC">
        <w:t>ker</w:t>
      </w:r>
      <w:r w:rsidR="00192BEC" w:rsidRPr="00ED64A7">
        <w:t xml:space="preserve"> </w:t>
      </w:r>
      <w:r w:rsidRPr="00ED64A7">
        <w:t>poslanka v zvezi s tem postopkom za odvzem imunitete ne sme biti „obtoženka“</w:t>
      </w:r>
      <w:r w:rsidRPr="00ED64A7">
        <w:rPr>
          <w:rStyle w:val="FootnoteReference"/>
          <w:color w:val="000000"/>
        </w:rPr>
        <w:footnoteReference w:id="4"/>
      </w:r>
      <w:r w:rsidRPr="00ED64A7">
        <w:t>;</w:t>
      </w:r>
    </w:p>
    <w:p w14:paraId="2C9783B0" w14:textId="77777777" w:rsidR="000469E2" w:rsidRPr="00ED64A7" w:rsidRDefault="000469E2" w:rsidP="000469E2">
      <w:pPr>
        <w:pStyle w:val="NormalHanging12a"/>
      </w:pPr>
      <w:r w:rsidRPr="00ED64A7">
        <w:t>1.</w:t>
      </w:r>
      <w:r w:rsidRPr="00ED64A7">
        <w:tab/>
        <w:t>sklene, da se Ilarii Salis imuniteta ne odvzame;</w:t>
      </w:r>
    </w:p>
    <w:p w14:paraId="6F0E9A50" w14:textId="3C996271" w:rsidR="00E365E1" w:rsidRPr="00ED64A7" w:rsidRDefault="000469E2" w:rsidP="00905709">
      <w:pPr>
        <w:pStyle w:val="NormalHanging12a"/>
      </w:pPr>
      <w:r w:rsidRPr="00ED64A7">
        <w:t>2.</w:t>
      </w:r>
      <w:r w:rsidRPr="00ED64A7">
        <w:tab/>
        <w:t>naroči svoji predsednici, naj ta sklep in poročilo pristojnega odbora nemudoma posreduje pristojnemu organu na Madžarskem in Ilarii Salis.</w:t>
      </w:r>
    </w:p>
    <w:sectPr w:rsidR="00E365E1" w:rsidRPr="00ED64A7" w:rsidSect="00ED64A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27538" w14:textId="77777777" w:rsidR="00026792" w:rsidRPr="00ED64A7" w:rsidRDefault="00026792">
      <w:r w:rsidRPr="00ED64A7">
        <w:separator/>
      </w:r>
    </w:p>
  </w:endnote>
  <w:endnote w:type="continuationSeparator" w:id="0">
    <w:p w14:paraId="3686FA51" w14:textId="77777777" w:rsidR="00026792" w:rsidRPr="00ED64A7" w:rsidRDefault="00026792">
      <w:r w:rsidRPr="00ED64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31C41" w14:textId="77777777" w:rsidR="00064002" w:rsidRPr="00ED64A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D9292" w14:textId="77777777" w:rsidR="00064002" w:rsidRPr="00ED64A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D6901" w14:textId="77777777" w:rsidR="00064002" w:rsidRPr="00ED64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3DF7D" w14:textId="77777777" w:rsidR="00026792" w:rsidRPr="00ED64A7" w:rsidRDefault="00026792">
      <w:r w:rsidRPr="00ED64A7">
        <w:separator/>
      </w:r>
    </w:p>
  </w:footnote>
  <w:footnote w:type="continuationSeparator" w:id="0">
    <w:p w14:paraId="3B2FCD95" w14:textId="77777777" w:rsidR="00026792" w:rsidRPr="00ED64A7" w:rsidRDefault="00026792">
      <w:r w:rsidRPr="00ED64A7">
        <w:continuationSeparator/>
      </w:r>
    </w:p>
  </w:footnote>
  <w:footnote w:id="1">
    <w:p w14:paraId="6327AB16" w14:textId="00C3FD6B" w:rsidR="000469E2" w:rsidRPr="00ED64A7" w:rsidRDefault="000469E2" w:rsidP="00ED64A7">
      <w:pPr>
        <w:pStyle w:val="FootnoteText"/>
        <w:ind w:left="567" w:hanging="567"/>
        <w:rPr>
          <w:sz w:val="24"/>
          <w:lang w:val="sl-SI"/>
        </w:rPr>
      </w:pPr>
      <w:r w:rsidRPr="00ED64A7">
        <w:rPr>
          <w:rStyle w:val="FootnoteReference"/>
          <w:sz w:val="24"/>
          <w:lang w:val="sl-SI"/>
        </w:rPr>
        <w:footnoteRef/>
      </w:r>
      <w:r w:rsidR="00ED64A7" w:rsidRPr="00ED64A7">
        <w:rPr>
          <w:sz w:val="24"/>
          <w:lang w:val="sl-SI"/>
        </w:rPr>
        <w:t xml:space="preserve"> </w:t>
      </w:r>
      <w:r w:rsidR="00ED64A7" w:rsidRPr="00ED64A7">
        <w:rPr>
          <w:sz w:val="24"/>
          <w:lang w:val="sl-SI"/>
        </w:rPr>
        <w:tab/>
      </w:r>
      <w:r w:rsidRPr="00ED64A7">
        <w:rPr>
          <w:sz w:val="24"/>
          <w:lang w:val="sl-SI"/>
        </w:rPr>
        <w:t xml:space="preserve">Sodba Sodišča z dne 21. oktobra 2008, </w:t>
      </w:r>
      <w:r w:rsidRPr="00905709">
        <w:rPr>
          <w:sz w:val="24"/>
          <w:lang w:val="sl-SI"/>
        </w:rPr>
        <w:t xml:space="preserve">Marra/De Gregorio in Clemente, C-200/07 in C-201/07, ECLI:EU:C:2008:579; sodba Splošnega sodišča z dne 19. marca 2010, Gollnisch/Parlament, T-42/06, ECLI:EU:T:2010:102; sodba Sodišča z dne 6. septembra 2011, Patriciello, C-163/10, ECLI: EU:C:2011:543; </w:t>
      </w:r>
      <w:r w:rsidRPr="00505690">
        <w:rPr>
          <w:sz w:val="24"/>
          <w:lang w:val="sl-SI"/>
        </w:rPr>
        <w:t xml:space="preserve">sodba </w:t>
      </w:r>
      <w:r w:rsidRPr="00D55023">
        <w:rPr>
          <w:sz w:val="24"/>
          <w:lang w:val="sl-SI"/>
        </w:rPr>
        <w:t>Splošnega</w:t>
      </w:r>
      <w:r w:rsidRPr="00505690">
        <w:rPr>
          <w:sz w:val="24"/>
          <w:lang w:val="sl-SI"/>
        </w:rPr>
        <w:t xml:space="preserve"> sodišča z dne 17. januarja 2013, Gollnisch/Parlament, T-346/11 in T-347/11, ECLI:EU:T:2013:23; sodba Sodišča z dne 19. decembra 2019, Junqueras Vies, C-502/19, ECLI:EU:C:2019:1115; sodba </w:t>
      </w:r>
      <w:r w:rsidRPr="00D55023">
        <w:rPr>
          <w:sz w:val="24"/>
          <w:lang w:val="sl-SI"/>
        </w:rPr>
        <w:t>Splošnega</w:t>
      </w:r>
      <w:r w:rsidRPr="00505690">
        <w:rPr>
          <w:sz w:val="24"/>
          <w:lang w:val="sl-SI"/>
        </w:rPr>
        <w:t xml:space="preserve"> sodišča z dne 5. julija 2023,</w:t>
      </w:r>
      <w:r w:rsidRPr="00905709">
        <w:rPr>
          <w:sz w:val="24"/>
          <w:lang w:val="sl-SI"/>
        </w:rPr>
        <w:t xml:space="preserve"> Puigdemont i Casamajó in drugi/Parlament, T-272/21, ECLI:EU:T:2023:373</w:t>
      </w:r>
      <w:r w:rsidRPr="00ED64A7">
        <w:rPr>
          <w:sz w:val="24"/>
          <w:lang w:val="sl-SI"/>
        </w:rPr>
        <w:t>.</w:t>
      </w:r>
    </w:p>
  </w:footnote>
  <w:footnote w:id="2">
    <w:p w14:paraId="03DB4429" w14:textId="79DD90D0" w:rsidR="000469E2" w:rsidRPr="00ED64A7" w:rsidRDefault="000469E2" w:rsidP="00ED64A7">
      <w:pPr>
        <w:pStyle w:val="FootnoteText"/>
        <w:ind w:left="567" w:hanging="567"/>
        <w:rPr>
          <w:sz w:val="24"/>
          <w:lang w:val="sl-SI"/>
        </w:rPr>
      </w:pPr>
      <w:r w:rsidRPr="00ED64A7">
        <w:rPr>
          <w:rStyle w:val="FootnoteReference"/>
          <w:sz w:val="24"/>
          <w:lang w:val="sl-SI"/>
        </w:rPr>
        <w:footnoteRef/>
      </w:r>
      <w:r w:rsidR="00ED64A7" w:rsidRPr="00ED64A7">
        <w:rPr>
          <w:sz w:val="24"/>
          <w:lang w:val="sl-SI"/>
        </w:rPr>
        <w:t xml:space="preserve"> </w:t>
      </w:r>
      <w:r w:rsidR="00ED64A7" w:rsidRPr="00ED64A7">
        <w:rPr>
          <w:sz w:val="24"/>
          <w:lang w:val="sl-SI"/>
        </w:rPr>
        <w:tab/>
      </w:r>
      <w:r w:rsidRPr="00ED64A7">
        <w:rPr>
          <w:sz w:val="24"/>
          <w:lang w:val="sl-SI"/>
        </w:rPr>
        <w:t xml:space="preserve">Sodba Splošnega sodišča z dne 17. januarja 2013, </w:t>
      </w:r>
      <w:r w:rsidRPr="00905709">
        <w:rPr>
          <w:sz w:val="24"/>
          <w:lang w:val="sl-SI"/>
        </w:rPr>
        <w:t>Gollnisch/Parlament</w:t>
      </w:r>
      <w:r w:rsidRPr="00ED64A7">
        <w:rPr>
          <w:sz w:val="24"/>
          <w:lang w:val="sl-SI"/>
        </w:rPr>
        <w:t>, T-346/11 in T-347/11, ECLI:EU:T:2013:23, odstavek 59 in citirana sodna praksa.</w:t>
      </w:r>
    </w:p>
  </w:footnote>
  <w:footnote w:id="3">
    <w:p w14:paraId="0DD29238" w14:textId="44097C71" w:rsidR="000469E2" w:rsidRPr="00ED64A7" w:rsidRDefault="000469E2" w:rsidP="00ED64A7">
      <w:pPr>
        <w:pStyle w:val="FootnoteText"/>
        <w:ind w:left="567" w:hanging="567"/>
        <w:rPr>
          <w:sz w:val="24"/>
          <w:lang w:val="sl-SI"/>
        </w:rPr>
      </w:pPr>
      <w:r w:rsidRPr="00ED64A7">
        <w:rPr>
          <w:rStyle w:val="FootnoteReference"/>
          <w:sz w:val="24"/>
          <w:lang w:val="sl-SI"/>
        </w:rPr>
        <w:footnoteRef/>
      </w:r>
      <w:r w:rsidR="00ED64A7" w:rsidRPr="00ED64A7">
        <w:rPr>
          <w:sz w:val="24"/>
          <w:lang w:val="sl-SI"/>
        </w:rPr>
        <w:t xml:space="preserve"> </w:t>
      </w:r>
      <w:r w:rsidR="00ED64A7" w:rsidRPr="00ED64A7">
        <w:rPr>
          <w:sz w:val="24"/>
          <w:lang w:val="sl-SI"/>
        </w:rPr>
        <w:tab/>
      </w:r>
      <w:r w:rsidRPr="00ED64A7">
        <w:rPr>
          <w:sz w:val="24"/>
          <w:lang w:val="sl-SI"/>
        </w:rPr>
        <w:t xml:space="preserve">Sodba Sodišča z dne 17. septembra 2020, </w:t>
      </w:r>
      <w:r w:rsidRPr="00905709">
        <w:rPr>
          <w:sz w:val="24"/>
          <w:lang w:val="sl-SI"/>
        </w:rPr>
        <w:t>Troszczynski/Parliament</w:t>
      </w:r>
      <w:r w:rsidRPr="00ED64A7">
        <w:rPr>
          <w:sz w:val="24"/>
          <w:lang w:val="sl-SI"/>
        </w:rPr>
        <w:t>, C-12/19 P, ECLI:EU:C:2020:725, odstavek 26.</w:t>
      </w:r>
    </w:p>
  </w:footnote>
  <w:footnote w:id="4">
    <w:p w14:paraId="62402018" w14:textId="4F16D2DD" w:rsidR="000469E2" w:rsidRPr="00ED64A7" w:rsidRDefault="000469E2" w:rsidP="00ED64A7">
      <w:pPr>
        <w:pStyle w:val="FootnoteText"/>
        <w:ind w:left="567" w:hanging="567"/>
        <w:rPr>
          <w:sz w:val="24"/>
          <w:lang w:val="sl-SI"/>
        </w:rPr>
      </w:pPr>
      <w:r w:rsidRPr="00ED64A7">
        <w:rPr>
          <w:rStyle w:val="FootnoteReference"/>
          <w:sz w:val="24"/>
          <w:lang w:val="sl-SI"/>
        </w:rPr>
        <w:footnoteRef/>
      </w:r>
      <w:r w:rsidR="00ED64A7" w:rsidRPr="00ED64A7">
        <w:rPr>
          <w:sz w:val="24"/>
          <w:lang w:val="sl-SI"/>
        </w:rPr>
        <w:t xml:space="preserve"> </w:t>
      </w:r>
      <w:r w:rsidR="00ED64A7" w:rsidRPr="00ED64A7">
        <w:rPr>
          <w:sz w:val="24"/>
          <w:lang w:val="sl-SI"/>
        </w:rPr>
        <w:tab/>
      </w:r>
      <w:r w:rsidRPr="00ED64A7">
        <w:rPr>
          <w:sz w:val="24"/>
          <w:lang w:val="sl-SI"/>
        </w:rPr>
        <w:t xml:space="preserve">Sodba Splošnega sodišča z dne 30. aprila 2019, </w:t>
      </w:r>
      <w:r w:rsidRPr="00905709">
        <w:rPr>
          <w:sz w:val="24"/>
          <w:lang w:val="sl-SI"/>
        </w:rPr>
        <w:t>Briois/Parlament</w:t>
      </w:r>
      <w:r w:rsidRPr="00ED64A7">
        <w:rPr>
          <w:sz w:val="24"/>
          <w:lang w:val="sl-SI"/>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2D809" w14:textId="77777777" w:rsidR="00064002" w:rsidRPr="00ED64A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D3153" w14:textId="77777777" w:rsidR="00064002" w:rsidRPr="00ED64A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7E0B3" w14:textId="77777777" w:rsidR="00064002" w:rsidRPr="00ED64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8197464">
    <w:abstractNumId w:val="9"/>
  </w:num>
  <w:num w:numId="2" w16cid:durableId="1801530170">
    <w:abstractNumId w:val="9"/>
  </w:num>
  <w:num w:numId="3" w16cid:durableId="15927804">
    <w:abstractNumId w:val="7"/>
  </w:num>
  <w:num w:numId="4" w16cid:durableId="477262767">
    <w:abstractNumId w:val="7"/>
  </w:num>
  <w:num w:numId="5" w16cid:durableId="173690154">
    <w:abstractNumId w:val="6"/>
  </w:num>
  <w:num w:numId="6" w16cid:durableId="777724886">
    <w:abstractNumId w:val="6"/>
  </w:num>
  <w:num w:numId="7" w16cid:durableId="1548419680">
    <w:abstractNumId w:val="5"/>
  </w:num>
  <w:num w:numId="8" w16cid:durableId="1521385093">
    <w:abstractNumId w:val="5"/>
  </w:num>
  <w:num w:numId="9" w16cid:durableId="1967392799">
    <w:abstractNumId w:val="4"/>
  </w:num>
  <w:num w:numId="10" w16cid:durableId="750810977">
    <w:abstractNumId w:val="4"/>
  </w:num>
  <w:num w:numId="11" w16cid:durableId="192962693">
    <w:abstractNumId w:val="8"/>
  </w:num>
  <w:num w:numId="12" w16cid:durableId="747773265">
    <w:abstractNumId w:val="8"/>
  </w:num>
  <w:num w:numId="13" w16cid:durableId="152843544">
    <w:abstractNumId w:val="3"/>
  </w:num>
  <w:num w:numId="14" w16cid:durableId="2056853980">
    <w:abstractNumId w:val="3"/>
  </w:num>
  <w:num w:numId="15" w16cid:durableId="993874532">
    <w:abstractNumId w:val="2"/>
  </w:num>
  <w:num w:numId="16" w16cid:durableId="912130330">
    <w:abstractNumId w:val="2"/>
  </w:num>
  <w:num w:numId="17" w16cid:durableId="424615283">
    <w:abstractNumId w:val="1"/>
  </w:num>
  <w:num w:numId="18" w16cid:durableId="381248561">
    <w:abstractNumId w:val="1"/>
  </w:num>
  <w:num w:numId="19" w16cid:durableId="585119074">
    <w:abstractNumId w:val="0"/>
  </w:num>
  <w:num w:numId="20" w16cid:durableId="1862158250">
    <w:abstractNumId w:val="0"/>
  </w:num>
  <w:num w:numId="21" w16cid:durableId="2019036417">
    <w:abstractNumId w:val="9"/>
  </w:num>
  <w:num w:numId="22" w16cid:durableId="2001813008">
    <w:abstractNumId w:val="7"/>
  </w:num>
  <w:num w:numId="23" w16cid:durableId="189295879">
    <w:abstractNumId w:val="6"/>
  </w:num>
  <w:num w:numId="24" w16cid:durableId="1028917315">
    <w:abstractNumId w:val="5"/>
  </w:num>
  <w:num w:numId="25" w16cid:durableId="1072505637">
    <w:abstractNumId w:val="4"/>
  </w:num>
  <w:num w:numId="26" w16cid:durableId="341395309">
    <w:abstractNumId w:val="8"/>
  </w:num>
  <w:num w:numId="27" w16cid:durableId="1934363224">
    <w:abstractNumId w:val="3"/>
  </w:num>
  <w:num w:numId="28" w16cid:durableId="1529904553">
    <w:abstractNumId w:val="2"/>
  </w:num>
  <w:num w:numId="29" w16cid:durableId="608125766">
    <w:abstractNumId w:val="1"/>
  </w:num>
  <w:num w:numId="30" w16cid:durableId="2029596728">
    <w:abstractNumId w:val="0"/>
  </w:num>
  <w:num w:numId="31" w16cid:durableId="363022891">
    <w:abstractNumId w:val="9"/>
  </w:num>
  <w:num w:numId="32" w16cid:durableId="59594089">
    <w:abstractNumId w:val="7"/>
  </w:num>
  <w:num w:numId="33" w16cid:durableId="1940678165">
    <w:abstractNumId w:val="6"/>
  </w:num>
  <w:num w:numId="34" w16cid:durableId="1738898382">
    <w:abstractNumId w:val="5"/>
  </w:num>
  <w:num w:numId="35" w16cid:durableId="1233352069">
    <w:abstractNumId w:val="4"/>
  </w:num>
  <w:num w:numId="36" w16cid:durableId="1448960823">
    <w:abstractNumId w:val="8"/>
  </w:num>
  <w:num w:numId="37" w16cid:durableId="2136411719">
    <w:abstractNumId w:val="3"/>
  </w:num>
  <w:num w:numId="38" w16cid:durableId="616450589">
    <w:abstractNumId w:val="2"/>
  </w:num>
  <w:num w:numId="39" w16cid:durableId="1204291762">
    <w:abstractNumId w:val="1"/>
  </w:num>
  <w:num w:numId="40" w16cid:durableId="55780670">
    <w:abstractNumId w:val="0"/>
  </w:num>
  <w:num w:numId="41" w16cid:durableId="1013530119">
    <w:abstractNumId w:val="10"/>
  </w:num>
  <w:num w:numId="42" w16cid:durableId="221674783">
    <w:abstractNumId w:val="10"/>
  </w:num>
  <w:num w:numId="43" w16cid:durableId="769004742">
    <w:abstractNumId w:val="10"/>
  </w:num>
  <w:num w:numId="44" w16cid:durableId="11056604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3/2025"/>
    <w:docVar w:name="dvlangue" w:val="SL"/>
    <w:docVar w:name="dvnumam" w:val="0"/>
    <w:docVar w:name="dvpe" w:val="774.380"/>
    <w:docVar w:name="dvrapporteur" w:val="Poročevalec: "/>
    <w:docVar w:name="dvtitre" w:val="Sklep Evropskega parlamenta z dne … 2025 o zahtevi za odvzem imunitete Ilarii Salis(2024/2086(IMM))"/>
  </w:docVars>
  <w:rsids>
    <w:rsidRoot w:val="00026792"/>
    <w:rsid w:val="00002272"/>
    <w:rsid w:val="00026792"/>
    <w:rsid w:val="000469E2"/>
    <w:rsid w:val="00064002"/>
    <w:rsid w:val="000677B9"/>
    <w:rsid w:val="000831BA"/>
    <w:rsid w:val="00090D1B"/>
    <w:rsid w:val="000A42CC"/>
    <w:rsid w:val="000E5EFB"/>
    <w:rsid w:val="000E7DD9"/>
    <w:rsid w:val="00100589"/>
    <w:rsid w:val="0010095E"/>
    <w:rsid w:val="00104710"/>
    <w:rsid w:val="00125B37"/>
    <w:rsid w:val="00187494"/>
    <w:rsid w:val="00192BEC"/>
    <w:rsid w:val="001F32AE"/>
    <w:rsid w:val="002767FF"/>
    <w:rsid w:val="00284EFC"/>
    <w:rsid w:val="002B18FE"/>
    <w:rsid w:val="002B5493"/>
    <w:rsid w:val="003223E8"/>
    <w:rsid w:val="00343214"/>
    <w:rsid w:val="00346911"/>
    <w:rsid w:val="00361C00"/>
    <w:rsid w:val="00395FA1"/>
    <w:rsid w:val="003D036E"/>
    <w:rsid w:val="003E15D4"/>
    <w:rsid w:val="004010A4"/>
    <w:rsid w:val="00411CCE"/>
    <w:rsid w:val="0041666E"/>
    <w:rsid w:val="00421060"/>
    <w:rsid w:val="004705AD"/>
    <w:rsid w:val="00471C19"/>
    <w:rsid w:val="004867E3"/>
    <w:rsid w:val="00494A28"/>
    <w:rsid w:val="004A3A71"/>
    <w:rsid w:val="004C0004"/>
    <w:rsid w:val="004C5D52"/>
    <w:rsid w:val="0050519A"/>
    <w:rsid w:val="00505690"/>
    <w:rsid w:val="005072A1"/>
    <w:rsid w:val="00514517"/>
    <w:rsid w:val="00545827"/>
    <w:rsid w:val="00560270"/>
    <w:rsid w:val="005C2568"/>
    <w:rsid w:val="005E3379"/>
    <w:rsid w:val="005F1B17"/>
    <w:rsid w:val="006037C0"/>
    <w:rsid w:val="00615282"/>
    <w:rsid w:val="006631B6"/>
    <w:rsid w:val="00680577"/>
    <w:rsid w:val="006F74FA"/>
    <w:rsid w:val="007060BB"/>
    <w:rsid w:val="00731ADD"/>
    <w:rsid w:val="00732BD7"/>
    <w:rsid w:val="00734777"/>
    <w:rsid w:val="00747932"/>
    <w:rsid w:val="00751A4A"/>
    <w:rsid w:val="00756632"/>
    <w:rsid w:val="00762C74"/>
    <w:rsid w:val="00765744"/>
    <w:rsid w:val="0078529A"/>
    <w:rsid w:val="00786EC0"/>
    <w:rsid w:val="007907BB"/>
    <w:rsid w:val="007D1690"/>
    <w:rsid w:val="007E22AD"/>
    <w:rsid w:val="00817416"/>
    <w:rsid w:val="00842779"/>
    <w:rsid w:val="00865F67"/>
    <w:rsid w:val="00881A7B"/>
    <w:rsid w:val="008840E5"/>
    <w:rsid w:val="00884C5B"/>
    <w:rsid w:val="00887B3E"/>
    <w:rsid w:val="008A2E7D"/>
    <w:rsid w:val="008C2AC6"/>
    <w:rsid w:val="00905709"/>
    <w:rsid w:val="00930C23"/>
    <w:rsid w:val="0093193B"/>
    <w:rsid w:val="009509D8"/>
    <w:rsid w:val="00950B64"/>
    <w:rsid w:val="00981893"/>
    <w:rsid w:val="00990C6D"/>
    <w:rsid w:val="00A1687D"/>
    <w:rsid w:val="00A43E52"/>
    <w:rsid w:val="00A4678D"/>
    <w:rsid w:val="00A778C7"/>
    <w:rsid w:val="00AB441E"/>
    <w:rsid w:val="00AB6293"/>
    <w:rsid w:val="00AE0928"/>
    <w:rsid w:val="00AF3B82"/>
    <w:rsid w:val="00B12E95"/>
    <w:rsid w:val="00B22876"/>
    <w:rsid w:val="00B50022"/>
    <w:rsid w:val="00B558F0"/>
    <w:rsid w:val="00BD48FE"/>
    <w:rsid w:val="00BD7BD8"/>
    <w:rsid w:val="00BE6ADC"/>
    <w:rsid w:val="00C05BFE"/>
    <w:rsid w:val="00C23CD4"/>
    <w:rsid w:val="00C61C0C"/>
    <w:rsid w:val="00C8349E"/>
    <w:rsid w:val="00C941CB"/>
    <w:rsid w:val="00CC2357"/>
    <w:rsid w:val="00CF071A"/>
    <w:rsid w:val="00D058B8"/>
    <w:rsid w:val="00D55023"/>
    <w:rsid w:val="00D56C11"/>
    <w:rsid w:val="00D834A0"/>
    <w:rsid w:val="00D872DF"/>
    <w:rsid w:val="00D91E21"/>
    <w:rsid w:val="00DA7FCD"/>
    <w:rsid w:val="00E365E1"/>
    <w:rsid w:val="00E820A4"/>
    <w:rsid w:val="00EB006A"/>
    <w:rsid w:val="00EB4772"/>
    <w:rsid w:val="00ED169E"/>
    <w:rsid w:val="00ED4235"/>
    <w:rsid w:val="00ED64A7"/>
    <w:rsid w:val="00F04346"/>
    <w:rsid w:val="00F075DC"/>
    <w:rsid w:val="00F149E9"/>
    <w:rsid w:val="00F26FD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50541"/>
  <w15:chartTrackingRefBased/>
  <w15:docId w15:val="{2B74D20E-0A80-4E1B-92FB-3857640EA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469E2"/>
    <w:pPr>
      <w:spacing w:after="240"/>
      <w:ind w:left="567" w:hanging="567"/>
    </w:pPr>
  </w:style>
  <w:style w:type="paragraph" w:customStyle="1" w:styleId="EPComma">
    <w:name w:val="EPComma"/>
    <w:basedOn w:val="Normal"/>
    <w:rsid w:val="000469E2"/>
    <w:pPr>
      <w:spacing w:before="480" w:after="240"/>
    </w:pPr>
  </w:style>
  <w:style w:type="character" w:styleId="CommentReference">
    <w:name w:val="annotation reference"/>
    <w:basedOn w:val="DefaultParagraphFont"/>
    <w:rsid w:val="00505690"/>
    <w:rPr>
      <w:sz w:val="16"/>
      <w:szCs w:val="16"/>
    </w:rPr>
  </w:style>
  <w:style w:type="paragraph" w:styleId="CommentText">
    <w:name w:val="annotation text"/>
    <w:basedOn w:val="Normal"/>
    <w:link w:val="CommentTextChar"/>
    <w:rsid w:val="00505690"/>
    <w:rPr>
      <w:sz w:val="20"/>
    </w:rPr>
  </w:style>
  <w:style w:type="character" w:customStyle="1" w:styleId="CommentTextChar">
    <w:name w:val="Comment Text Char"/>
    <w:basedOn w:val="DefaultParagraphFont"/>
    <w:link w:val="CommentText"/>
    <w:rsid w:val="00505690"/>
    <w:rPr>
      <w:lang w:val="sl-SI"/>
    </w:rPr>
  </w:style>
  <w:style w:type="paragraph" w:styleId="CommentSubject">
    <w:name w:val="annotation subject"/>
    <w:basedOn w:val="CommentText"/>
    <w:next w:val="CommentText"/>
    <w:link w:val="CommentSubjectChar"/>
    <w:rsid w:val="00505690"/>
    <w:rPr>
      <w:b/>
      <w:bCs/>
    </w:rPr>
  </w:style>
  <w:style w:type="character" w:customStyle="1" w:styleId="CommentSubjectChar">
    <w:name w:val="Comment Subject Char"/>
    <w:basedOn w:val="CommentTextChar"/>
    <w:link w:val="CommentSubject"/>
    <w:rsid w:val="00505690"/>
    <w:rPr>
      <w:b/>
      <w:bCs/>
      <w:lang w:val="sl-SI"/>
    </w:rPr>
  </w:style>
  <w:style w:type="character" w:styleId="Hyperlink">
    <w:name w:val="Hyperlink"/>
    <w:basedOn w:val="DefaultParagraphFont"/>
    <w:rsid w:val="00505690"/>
    <w:rPr>
      <w:color w:val="0563C1" w:themeColor="hyperlink"/>
      <w:u w:val="single"/>
    </w:rPr>
  </w:style>
  <w:style w:type="character" w:styleId="UnresolvedMention">
    <w:name w:val="Unresolved Mention"/>
    <w:basedOn w:val="DefaultParagraphFont"/>
    <w:uiPriority w:val="99"/>
    <w:semiHidden/>
    <w:unhideWhenUsed/>
    <w:rsid w:val="00505690"/>
    <w:rPr>
      <w:color w:val="605E5C"/>
      <w:shd w:val="clear" w:color="auto" w:fill="E1DFDD"/>
    </w:rPr>
  </w:style>
  <w:style w:type="paragraph" w:styleId="Revision">
    <w:name w:val="Revision"/>
    <w:hidden/>
    <w:uiPriority w:val="99"/>
    <w:semiHidden/>
    <w:rsid w:val="0050569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914</Words>
  <Characters>5040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2025-10-07T12:59:00Z</dcterms:created>
  <dcterms:modified xsi:type="dcterms:W3CDTF">2025-10-07T12:59:00Z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A10-0183/2025</vt:lpwstr>
  </property>
  <property fmtid="{D5CDD505-2E9C-101B-9397-08002B2CF9AE}" pid="4" name="&lt;Type&gt;">
    <vt:lpwstr>RR</vt:lpwstr>
  </property>
</Properties>
</file>