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5235" w14:paraId="0C198B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CD5D01" w14:textId="792A65A4" w:rsidR="00751A4A" w:rsidRPr="002E5235" w:rsidRDefault="009E3A41" w:rsidP="0010095E">
            <w:pPr>
              <w:pStyle w:val="EPName"/>
            </w:pPr>
            <w:r w:rsidRPr="002E5235">
              <w:t>Evropský parlament</w:t>
            </w:r>
          </w:p>
          <w:p w14:paraId="0A75C60F" w14:textId="77777777" w:rsidR="00751A4A" w:rsidRPr="002E52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5235">
              <w:t>2024</w:t>
            </w:r>
            <w:r w:rsidR="00817416" w:rsidRPr="002E5235">
              <w:t>-202</w:t>
            </w:r>
            <w:r w:rsidRPr="002E5235">
              <w:t>9</w:t>
            </w:r>
          </w:p>
        </w:tc>
        <w:tc>
          <w:tcPr>
            <w:tcW w:w="2268" w:type="dxa"/>
            <w:shd w:val="clear" w:color="auto" w:fill="auto"/>
          </w:tcPr>
          <w:p w14:paraId="633BE6FE" w14:textId="77777777" w:rsidR="00751A4A" w:rsidRPr="002E5235" w:rsidRDefault="00187494" w:rsidP="0010095E">
            <w:pPr>
              <w:pStyle w:val="EPLogo"/>
            </w:pPr>
            <w:r w:rsidRPr="002E5235">
              <w:rPr>
                <w:noProof/>
                <w:lang w:eastAsia="ja-JP"/>
              </w:rPr>
              <w:drawing>
                <wp:inline distT="0" distB="0" distL="0" distR="0" wp14:anchorId="1988A50E" wp14:editId="2A30DA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01A119" w14:textId="77777777" w:rsidR="00D058B8" w:rsidRPr="002E5235" w:rsidRDefault="00D058B8" w:rsidP="004C5D52">
      <w:pPr>
        <w:pStyle w:val="LineTop"/>
      </w:pPr>
    </w:p>
    <w:p w14:paraId="188E28A8" w14:textId="5712CC18" w:rsidR="00680577" w:rsidRPr="002E5235" w:rsidRDefault="009E3A41" w:rsidP="00680577">
      <w:pPr>
        <w:pStyle w:val="EPBodyTA1"/>
      </w:pPr>
      <w:r w:rsidRPr="002E5235">
        <w:t>PŘIJATÉ TEXTY</w:t>
      </w:r>
    </w:p>
    <w:p w14:paraId="20BA7014" w14:textId="77777777" w:rsidR="00D058B8" w:rsidRPr="002E5235" w:rsidRDefault="00D058B8" w:rsidP="00D058B8">
      <w:pPr>
        <w:pStyle w:val="LineBottom"/>
      </w:pPr>
    </w:p>
    <w:p w14:paraId="026DF9BE" w14:textId="7469A566" w:rsidR="009E3A41" w:rsidRPr="002E5235" w:rsidRDefault="009E3A41" w:rsidP="009E3A41">
      <w:pPr>
        <w:pStyle w:val="ATHeading1"/>
      </w:pPr>
      <w:bookmarkStart w:id="0" w:name="TANumber"/>
      <w:r w:rsidRPr="002E5235">
        <w:t>P10_</w:t>
      </w:r>
      <w:proofErr w:type="gramStart"/>
      <w:r w:rsidRPr="002E5235">
        <w:t>TA(</w:t>
      </w:r>
      <w:proofErr w:type="gramEnd"/>
      <w:r w:rsidRPr="002E5235">
        <w:t>2025)0</w:t>
      </w:r>
      <w:r w:rsidR="0071367F">
        <w:t>207</w:t>
      </w:r>
      <w:bookmarkEnd w:id="0"/>
    </w:p>
    <w:p w14:paraId="58D5C9D7" w14:textId="221BC4B4" w:rsidR="009E3A41" w:rsidRPr="002E5235" w:rsidRDefault="009E3A41" w:rsidP="009E3A41">
      <w:pPr>
        <w:pStyle w:val="ATHeading2"/>
      </w:pPr>
      <w:bookmarkStart w:id="1" w:name="title"/>
      <w:bookmarkStart w:id="2" w:name="_Hlk210725846"/>
      <w:r w:rsidRPr="002E5235">
        <w:t xml:space="preserve">Žádost, aby byla Klára </w:t>
      </w:r>
      <w:proofErr w:type="spellStart"/>
      <w:r w:rsidRPr="002E5235">
        <w:t>Dobrev</w:t>
      </w:r>
      <w:r w:rsidR="00DB7012">
        <w:t>ová</w:t>
      </w:r>
      <w:proofErr w:type="spellEnd"/>
      <w:r w:rsidRPr="002E5235">
        <w:t xml:space="preserve"> zbavena imunity</w:t>
      </w:r>
      <w:bookmarkEnd w:id="1"/>
    </w:p>
    <w:bookmarkEnd w:id="2"/>
    <w:p w14:paraId="78D6F633" w14:textId="77777777" w:rsidR="009E3A41" w:rsidRPr="002E5235" w:rsidRDefault="009E3A41" w:rsidP="009E3A41">
      <w:pPr>
        <w:rPr>
          <w:i/>
          <w:vanish/>
        </w:rPr>
      </w:pPr>
      <w:r w:rsidRPr="002E5235">
        <w:rPr>
          <w:i/>
        </w:rPr>
        <w:fldChar w:fldCharType="begin"/>
      </w:r>
      <w:r w:rsidRPr="002E5235">
        <w:rPr>
          <w:i/>
        </w:rPr>
        <w:instrText xml:space="preserve"> TC"(</w:instrText>
      </w:r>
      <w:bookmarkStart w:id="3" w:name="DocNumber"/>
      <w:r w:rsidRPr="002E5235">
        <w:rPr>
          <w:i/>
        </w:rPr>
        <w:instrText>A10-0184/2025</w:instrText>
      </w:r>
      <w:bookmarkEnd w:id="3"/>
      <w:r w:rsidRPr="002E5235">
        <w:rPr>
          <w:i/>
        </w:rPr>
        <w:instrText xml:space="preserve"> - Zpravodaj: Ilhan Kyuchyuk)"\l3 \n&gt; \* MERGEFORMAT </w:instrText>
      </w:r>
      <w:r w:rsidRPr="002E5235">
        <w:rPr>
          <w:i/>
        </w:rPr>
        <w:fldChar w:fldCharType="end"/>
      </w:r>
    </w:p>
    <w:p w14:paraId="6BB8D619" w14:textId="77777777" w:rsidR="009E3A41" w:rsidRPr="002E5235" w:rsidRDefault="009E3A41" w:rsidP="009E3A41">
      <w:pPr>
        <w:rPr>
          <w:vanish/>
        </w:rPr>
      </w:pPr>
      <w:bookmarkStart w:id="4" w:name="Commission"/>
      <w:r w:rsidRPr="002E5235">
        <w:rPr>
          <w:vanish/>
        </w:rPr>
        <w:t>Výbor pro právní záležitosti</w:t>
      </w:r>
      <w:bookmarkEnd w:id="4"/>
    </w:p>
    <w:p w14:paraId="5E75DEAC" w14:textId="77777777" w:rsidR="009E3A41" w:rsidRPr="002E5235" w:rsidRDefault="009E3A41" w:rsidP="009E3A41">
      <w:pPr>
        <w:rPr>
          <w:vanish/>
        </w:rPr>
      </w:pPr>
      <w:bookmarkStart w:id="5" w:name="PE"/>
      <w:r w:rsidRPr="002E5235">
        <w:rPr>
          <w:vanish/>
        </w:rPr>
        <w:t>PE766.949</w:t>
      </w:r>
      <w:bookmarkEnd w:id="5"/>
    </w:p>
    <w:p w14:paraId="0E95993C" w14:textId="01F4CD90" w:rsidR="009E3A41" w:rsidRPr="002E5235" w:rsidRDefault="009E3A41" w:rsidP="009E3A41">
      <w:pPr>
        <w:pStyle w:val="ATHeading3"/>
      </w:pPr>
      <w:bookmarkStart w:id="6" w:name="Sujet"/>
      <w:r w:rsidRPr="002E5235">
        <w:t>Rozhodnutí Evropského parlamentu ze dne</w:t>
      </w:r>
      <w:r w:rsidR="00DB7012">
        <w:t xml:space="preserve"> </w:t>
      </w:r>
      <w:r w:rsidR="007F3176">
        <w:t>7</w:t>
      </w:r>
      <w:r w:rsidR="00DB7012">
        <w:t>. října</w:t>
      </w:r>
      <w:r w:rsidRPr="002E5235">
        <w:t xml:space="preserve"> 2025 o žádosti, aby byla Klára </w:t>
      </w:r>
      <w:proofErr w:type="spellStart"/>
      <w:r w:rsidRPr="002E5235">
        <w:t>Dobrevová</w:t>
      </w:r>
      <w:proofErr w:type="spellEnd"/>
      <w:r w:rsidRPr="002E5235">
        <w:t xml:space="preserve"> zbavena imunity</w:t>
      </w:r>
      <w:bookmarkEnd w:id="6"/>
      <w:r w:rsidRPr="002E5235">
        <w:t xml:space="preserve"> </w:t>
      </w:r>
      <w:bookmarkStart w:id="7" w:name="References"/>
      <w:r w:rsidRPr="002E5235">
        <w:t>(2024/2042(IMM))</w:t>
      </w:r>
      <w:bookmarkEnd w:id="7"/>
    </w:p>
    <w:p w14:paraId="516E57C7" w14:textId="77777777" w:rsidR="00A02D2A" w:rsidRPr="002E5235" w:rsidRDefault="00A02D2A" w:rsidP="00A02D2A">
      <w:pPr>
        <w:pStyle w:val="EPComma"/>
      </w:pPr>
      <w:bookmarkStart w:id="8" w:name="TextBodyBegin"/>
      <w:bookmarkEnd w:id="8"/>
      <w:r w:rsidRPr="002E5235">
        <w:rPr>
          <w:i/>
        </w:rPr>
        <w:t>Evropský parlament</w:t>
      </w:r>
      <w:r w:rsidRPr="002E5235">
        <w:t>,</w:t>
      </w:r>
    </w:p>
    <w:p w14:paraId="112A59F1" w14:textId="58F89136" w:rsidR="00A02D2A" w:rsidRPr="002E5235" w:rsidRDefault="00A02D2A" w:rsidP="00A02D2A">
      <w:pPr>
        <w:pStyle w:val="NormalHanging12a"/>
      </w:pPr>
      <w:r w:rsidRPr="002E5235">
        <w:t>–</w:t>
      </w:r>
      <w:r w:rsidRPr="002E5235">
        <w:tab/>
        <w:t xml:space="preserve">s ohledem na žádost ze dne 29. srpna 2024, aby byla Klára </w:t>
      </w:r>
      <w:proofErr w:type="spellStart"/>
      <w:r w:rsidRPr="002E5235">
        <w:t>Dobrevová</w:t>
      </w:r>
      <w:proofErr w:type="spellEnd"/>
      <w:r w:rsidRPr="002E5235">
        <w:t xml:space="preserve"> zbavena imunity, kterou podal okresní soud pro Budapešť II a III v souvislosti s trestním řízením, jež proti ní bylo zahájeno na základě soukromé žaloby, a která </w:t>
      </w:r>
      <w:r w:rsidR="000A5F19">
        <w:t>byla</w:t>
      </w:r>
      <w:r w:rsidR="007F3176" w:rsidRPr="002E5235">
        <w:t xml:space="preserve"> </w:t>
      </w:r>
      <w:r w:rsidR="000A5F19">
        <w:t>oznámena</w:t>
      </w:r>
      <w:r w:rsidR="007F3176" w:rsidRPr="002E5235">
        <w:t xml:space="preserve"> </w:t>
      </w:r>
      <w:r w:rsidR="007F3176">
        <w:t>v Parlamentu</w:t>
      </w:r>
      <w:r w:rsidRPr="002E5235">
        <w:t xml:space="preserve"> dne 16. září 2024,</w:t>
      </w:r>
    </w:p>
    <w:p w14:paraId="20C93491" w14:textId="52E7B263" w:rsidR="00A02D2A" w:rsidRPr="002E5235" w:rsidRDefault="00A02D2A" w:rsidP="00A02D2A">
      <w:pPr>
        <w:pStyle w:val="NormalHanging12a"/>
      </w:pPr>
      <w:r w:rsidRPr="002E5235">
        <w:t>–</w:t>
      </w:r>
      <w:r w:rsidRPr="002E5235">
        <w:tab/>
        <w:t xml:space="preserve">poté, co Klára </w:t>
      </w:r>
      <w:proofErr w:type="spellStart"/>
      <w:r w:rsidRPr="002E5235">
        <w:t>Dobrevová</w:t>
      </w:r>
      <w:proofErr w:type="spellEnd"/>
      <w:r w:rsidRPr="002E5235">
        <w:t xml:space="preserve"> dostala </w:t>
      </w:r>
      <w:r w:rsidR="005D5A54">
        <w:t xml:space="preserve">příležitost vyjádřit se dne 29. ledna 2025 </w:t>
      </w:r>
      <w:r w:rsidRPr="002E5235">
        <w:t>v souladu s čl. 9 odst. 6 jednacího řádu,</w:t>
      </w:r>
    </w:p>
    <w:p w14:paraId="61F25320" w14:textId="77777777" w:rsidR="00A02D2A" w:rsidRPr="002E5235" w:rsidRDefault="00A02D2A" w:rsidP="00A02D2A">
      <w:pPr>
        <w:pStyle w:val="NormalHanging12a"/>
      </w:pPr>
      <w:r w:rsidRPr="002E5235">
        <w:t>–</w:t>
      </w:r>
      <w:r w:rsidRPr="002E5235">
        <w:tab/>
        <w:t>s ohledem na články 8 a 9 Protokolu č. 7 o výsadách a imunitách Evropské unie a na čl. 6 odst. 2 Aktu o volbě členů Evropského parlamentu ve všeobecných a přímých volbách ze dne 20. září 1976,</w:t>
      </w:r>
    </w:p>
    <w:p w14:paraId="286BD229" w14:textId="77777777" w:rsidR="00A02D2A" w:rsidRPr="002E5235" w:rsidRDefault="00A02D2A" w:rsidP="00A02D2A">
      <w:pPr>
        <w:pStyle w:val="NormalHanging12a"/>
      </w:pPr>
      <w:r w:rsidRPr="002E5235">
        <w:t>–</w:t>
      </w:r>
      <w:r w:rsidRPr="002E5235">
        <w:tab/>
        <w:t xml:space="preserve">s ohledem na čl. 4 odst. 2 maďarské ústavy, </w:t>
      </w:r>
    </w:p>
    <w:p w14:paraId="4B6A3913" w14:textId="77777777" w:rsidR="00A02D2A" w:rsidRPr="002E5235" w:rsidRDefault="00A02D2A" w:rsidP="00A02D2A">
      <w:pPr>
        <w:pStyle w:val="NormalHanging12a"/>
      </w:pPr>
      <w:r w:rsidRPr="002E5235">
        <w:t>–</w:t>
      </w:r>
      <w:r w:rsidRPr="002E5235">
        <w:tab/>
        <w:t>s ohledem na rozsudky Soudního dvora Evropské unie ze dne 21. října 2008, 19. března 2010, 6. září 2011, 17. ledna 2013, 19. prosince 2019 a 5. července 2023</w:t>
      </w:r>
      <w:r w:rsidRPr="002E5235">
        <w:rPr>
          <w:rStyle w:val="FootnoteReference"/>
          <w:color w:val="000000"/>
        </w:rPr>
        <w:footnoteReference w:id="1"/>
      </w:r>
      <w:r w:rsidRPr="002E5235">
        <w:t>,</w:t>
      </w:r>
    </w:p>
    <w:p w14:paraId="451C60FF" w14:textId="77777777" w:rsidR="00A02D2A" w:rsidRPr="002E5235" w:rsidRDefault="00A02D2A" w:rsidP="00A02D2A">
      <w:pPr>
        <w:pStyle w:val="NormalHanging12a"/>
      </w:pPr>
      <w:r w:rsidRPr="002E5235">
        <w:t>–</w:t>
      </w:r>
      <w:r w:rsidRPr="002E5235">
        <w:tab/>
        <w:t>s ohledem na čl. 5 odst. 2, čl. 6 odst. 1 a článek 9 jednacího řádu,</w:t>
      </w:r>
    </w:p>
    <w:p w14:paraId="6CC20155" w14:textId="77777777" w:rsidR="00A02D2A" w:rsidRPr="002E5235" w:rsidRDefault="00A02D2A" w:rsidP="00A02D2A">
      <w:pPr>
        <w:pStyle w:val="NormalHanging12a"/>
      </w:pPr>
      <w:r w:rsidRPr="002E5235">
        <w:t>–</w:t>
      </w:r>
      <w:r w:rsidRPr="002E5235">
        <w:tab/>
        <w:t>s ohledem na zprávu Výboru pro právní záležitosti (A10-0184/2025),</w:t>
      </w:r>
    </w:p>
    <w:p w14:paraId="69BA0CE4" w14:textId="75D58B80" w:rsidR="00A02D2A" w:rsidRPr="002E5235" w:rsidRDefault="00A02D2A" w:rsidP="00A02D2A">
      <w:pPr>
        <w:pStyle w:val="NormalHanging12a"/>
      </w:pPr>
      <w:r w:rsidRPr="002E5235">
        <w:lastRenderedPageBreak/>
        <w:t>A.</w:t>
      </w:r>
      <w:r w:rsidRPr="002E5235">
        <w:tab/>
        <w:t xml:space="preserve">vzhledem k tomu, že dne 29. srpna 2024 předložil okresní soud pro Budapešť II a III žádost o zbavení </w:t>
      </w:r>
      <w:r w:rsidR="008C4E19">
        <w:t xml:space="preserve">poslanecké </w:t>
      </w:r>
      <w:r w:rsidR="008C4E19" w:rsidRPr="002E5235">
        <w:t xml:space="preserve">imunity Kláry </w:t>
      </w:r>
      <w:proofErr w:type="spellStart"/>
      <w:r w:rsidR="008C4E19" w:rsidRPr="002E5235">
        <w:t>Dobrevové</w:t>
      </w:r>
      <w:proofErr w:type="spellEnd"/>
      <w:r w:rsidR="008C4E19">
        <w:t>,</w:t>
      </w:r>
      <w:r w:rsidR="008C4E19" w:rsidRPr="002E5235">
        <w:t xml:space="preserve"> </w:t>
      </w:r>
      <w:r w:rsidRPr="002E5235">
        <w:t>poslankyně Evropského parlamentu zvolené za Maďarsko</w:t>
      </w:r>
      <w:r w:rsidR="008C4E19">
        <w:t>,</w:t>
      </w:r>
      <w:r w:rsidRPr="002E5235">
        <w:t xml:space="preserve"> v souvislosti s trestním řízením pro pomluvu, které proti ní bylo zahájeno </w:t>
      </w:r>
      <w:r w:rsidR="008C4E19">
        <w:t>soukromým žalobcem</w:t>
      </w:r>
      <w:r w:rsidRPr="002E5235">
        <w:t>;</w:t>
      </w:r>
    </w:p>
    <w:p w14:paraId="218D8024" w14:textId="77777777" w:rsidR="00A02D2A" w:rsidRPr="002E5235" w:rsidRDefault="00A02D2A" w:rsidP="00A02D2A">
      <w:pPr>
        <w:pStyle w:val="NormalHanging12a"/>
      </w:pPr>
      <w:r w:rsidRPr="002E5235">
        <w:t>B.</w:t>
      </w:r>
      <w:r w:rsidRPr="002E5235">
        <w:tab/>
        <w:t xml:space="preserve">vzhledem k tomu, že podle soukromé žaloby dne 22. února 2024 Klára </w:t>
      </w:r>
      <w:proofErr w:type="spellStart"/>
      <w:r w:rsidRPr="002E5235">
        <w:t>Dobrevová</w:t>
      </w:r>
      <w:proofErr w:type="spellEnd"/>
      <w:r w:rsidRPr="002E5235">
        <w:t xml:space="preserve"> zveřejnila na sociálních médiích fotografii, na níž byl zobrazen maďarský premiér a soukromý žalobce, s popiskem, že žalobce je „rovněž vinen v pedofilním skandálu“, který v té době v Maďarsku probíhal;</w:t>
      </w:r>
    </w:p>
    <w:p w14:paraId="4C799B7A" w14:textId="3C7FEE81" w:rsidR="00A02D2A" w:rsidRDefault="00A02D2A" w:rsidP="00A02D2A">
      <w:pPr>
        <w:pStyle w:val="NormalHanging12a"/>
      </w:pPr>
      <w:r w:rsidRPr="002E5235">
        <w:t>C.</w:t>
      </w:r>
      <w:r w:rsidRPr="002E5235">
        <w:tab/>
        <w:t xml:space="preserve">vzhledem k tomu, že zveřejněním fotografie se Klára </w:t>
      </w:r>
      <w:proofErr w:type="spellStart"/>
      <w:r w:rsidRPr="002E5235">
        <w:t>Dobrevová</w:t>
      </w:r>
      <w:proofErr w:type="spellEnd"/>
      <w:r w:rsidRPr="002E5235">
        <w:t xml:space="preserve"> údajně dopustila trestného činu pomluvy na veřejnosti podle § 226 odst. 1 a § 226 odst. 2 písm. b) zákona C z roku 2012 o maďarském trestním zákoníku; vzhledem k tomu, že podle § 231 odst. 2 maďarského trestního zákoníku lze tento trestný čin stíhat pouze v rámci řízení zahájeného soukromým žalobcem;</w:t>
      </w:r>
    </w:p>
    <w:p w14:paraId="51482FBD" w14:textId="37D1382E" w:rsidR="007F3176" w:rsidRPr="002E5235" w:rsidRDefault="007F3176" w:rsidP="007F3176">
      <w:pPr>
        <w:pStyle w:val="NormalHanging12a"/>
        <w:rPr>
          <w:szCs w:val="24"/>
          <w:shd w:val="clear" w:color="auto" w:fill="FFFFFF"/>
        </w:rPr>
      </w:pPr>
      <w:r>
        <w:t>D</w:t>
      </w:r>
      <w:r w:rsidRPr="002E5235">
        <w:t>.</w:t>
      </w:r>
      <w:r w:rsidRPr="002E5235">
        <w:tab/>
        <w:t xml:space="preserve">vzhledem k tomu, že Klára </w:t>
      </w:r>
      <w:proofErr w:type="spellStart"/>
      <w:r w:rsidRPr="002E5235">
        <w:t>Dobrevová</w:t>
      </w:r>
      <w:proofErr w:type="spellEnd"/>
      <w:r w:rsidRPr="002E5235">
        <w:t xml:space="preserve"> byla zvolena v evropských volbách v roce 2019 a v době údajného trestného činu byla poslankyní Evropského parlamentu;</w:t>
      </w:r>
    </w:p>
    <w:p w14:paraId="704E6C36" w14:textId="1C3AF80E" w:rsidR="00A02D2A" w:rsidRPr="002E5235" w:rsidRDefault="007F3176" w:rsidP="00A02D2A">
      <w:pPr>
        <w:pStyle w:val="NormalHanging12a"/>
      </w:pPr>
      <w:r>
        <w:t>E</w:t>
      </w:r>
      <w:r w:rsidR="00A02D2A" w:rsidRPr="002E5235">
        <w:t>.</w:t>
      </w:r>
      <w:r w:rsidR="00A02D2A" w:rsidRPr="002E5235">
        <w:tab/>
        <w:t xml:space="preserve">vzhledem k tomu, že smyslem imunity </w:t>
      </w:r>
      <w:r w:rsidRPr="007F3176">
        <w:t xml:space="preserve">stanovené v Protokolu č. 7 o výsadách a imunitách Evropské unie </w:t>
      </w:r>
      <w:r w:rsidR="00A02D2A" w:rsidRPr="002E5235">
        <w:t>je chránit Parlament a jeho poslance před soudními řízeními týkajícími se činnosti vykonávané v rámci parlamentního mandátu, s nímž je neoddělitelně spjata;</w:t>
      </w:r>
    </w:p>
    <w:p w14:paraId="0B9A4C1B" w14:textId="5D3E52C2" w:rsidR="00A02D2A" w:rsidRPr="002E5235" w:rsidRDefault="007F3176" w:rsidP="00A02D2A">
      <w:pPr>
        <w:pStyle w:val="NormalHanging12a"/>
      </w:pPr>
      <w:r>
        <w:t>F</w:t>
      </w:r>
      <w:r w:rsidR="00A02D2A" w:rsidRPr="002E5235">
        <w:t>.</w:t>
      </w:r>
      <w:r w:rsidR="00A02D2A" w:rsidRPr="002E5235">
        <w:tab/>
        <w:t xml:space="preserve">vzhledem k tomu, že </w:t>
      </w:r>
      <w:r w:rsidR="00350698">
        <w:t>podle</w:t>
      </w:r>
      <w:r w:rsidR="00A02D2A" w:rsidRPr="002E5235">
        <w:t> čl. 5 odst. 2 jednacího řádu</w:t>
      </w:r>
      <w:r w:rsidR="00350698">
        <w:t xml:space="preserve"> Parlament</w:t>
      </w:r>
      <w:r w:rsidR="00A02D2A" w:rsidRPr="002E5235">
        <w:t xml:space="preserve"> při výkonu svých pravomocí s ohledem na výsady a imunity </w:t>
      </w:r>
      <w:r w:rsidR="00350698">
        <w:t>jedná</w:t>
      </w:r>
      <w:r w:rsidR="00A02D2A" w:rsidRPr="002E5235">
        <w:t xml:space="preserve"> </w:t>
      </w:r>
      <w:r w:rsidR="00350698">
        <w:t>v zájmu</w:t>
      </w:r>
      <w:r w:rsidR="00350698" w:rsidRPr="002E5235">
        <w:t> </w:t>
      </w:r>
      <w:r w:rsidR="00A02D2A" w:rsidRPr="002E5235">
        <w:t>zachování své integrity jako demokratického zákonodárného shromáždění a </w:t>
      </w:r>
      <w:r w:rsidR="00350698">
        <w:t>s cílem zajistit</w:t>
      </w:r>
      <w:r w:rsidR="00A02D2A" w:rsidRPr="002E5235">
        <w:t xml:space="preserve"> nezávislost poslanců při plnění jejich povinností;</w:t>
      </w:r>
    </w:p>
    <w:p w14:paraId="273BCC05" w14:textId="77777777" w:rsidR="00A02D2A" w:rsidRPr="002E5235" w:rsidRDefault="00A02D2A" w:rsidP="00A02D2A">
      <w:pPr>
        <w:pStyle w:val="NormalHanging12a"/>
      </w:pPr>
      <w:r w:rsidRPr="002E5235">
        <w:t>G.</w:t>
      </w:r>
      <w:r w:rsidRPr="002E5235">
        <w:tab/>
        <w:t>vzhledem k tomu, že článek 8 Protokolu č. 7 o výsadách a imunitách Evropské unie stanoví, že členové Evropského parlamentu nemohou být vyšetřováni, zadrženi nebo stíháni pro své názory či hlasování během výkonu své funkce;</w:t>
      </w:r>
    </w:p>
    <w:p w14:paraId="3C0EA9D1" w14:textId="77777777" w:rsidR="00A02D2A" w:rsidRPr="002E5235" w:rsidRDefault="00A02D2A" w:rsidP="00A02D2A">
      <w:pPr>
        <w:pStyle w:val="NormalHanging12a"/>
      </w:pPr>
      <w:r w:rsidRPr="002E5235">
        <w:t>H.</w:t>
      </w:r>
      <w:r w:rsidRPr="002E5235">
        <w:tab/>
        <w:t xml:space="preserve">vzhledem k tomu, že údajný trestný čin a následná žádost o zbavení Kláry </w:t>
      </w:r>
      <w:proofErr w:type="spellStart"/>
      <w:r w:rsidRPr="002E5235">
        <w:t>Dobrevové</w:t>
      </w:r>
      <w:proofErr w:type="spellEnd"/>
      <w:r w:rsidRPr="002E5235">
        <w:t xml:space="preserve"> imunity nejsou spojeny s názory nebo hlasováním Kláry </w:t>
      </w:r>
      <w:proofErr w:type="spellStart"/>
      <w:r w:rsidRPr="002E5235">
        <w:t>Dobrevové</w:t>
      </w:r>
      <w:proofErr w:type="spellEnd"/>
      <w:r w:rsidRPr="002E5235">
        <w:t xml:space="preserve"> při výkonu její funkce ve smyslu článku 8 Protokolu č. 7 o výsadách a imunitách Evropské unie;</w:t>
      </w:r>
    </w:p>
    <w:p w14:paraId="19959424" w14:textId="0DC4A787" w:rsidR="00A02D2A" w:rsidRPr="002E5235" w:rsidRDefault="00A02D2A" w:rsidP="00A02D2A">
      <w:pPr>
        <w:pStyle w:val="NormalHanging12a"/>
      </w:pPr>
      <w:r w:rsidRPr="002E5235">
        <w:t>I.</w:t>
      </w:r>
      <w:r w:rsidRPr="002E5235">
        <w:tab/>
        <w:t>vzhledem k tomu, že čl. 9 odst. 1 písm. a) Protokolu č. 7 o výsadách a imunitách Evropské unie stanoví, že členové Evropského parlamentu požívají na území vlastního státu imunit přiznávaných členům parlamentu vlastního státu;</w:t>
      </w:r>
    </w:p>
    <w:p w14:paraId="1A60DB0F" w14:textId="40162F9A" w:rsidR="00A02D2A" w:rsidRPr="002E5235" w:rsidRDefault="00A02D2A" w:rsidP="00A02D2A">
      <w:pPr>
        <w:pStyle w:val="NormalHanging12a"/>
      </w:pPr>
      <w:r w:rsidRPr="002E5235">
        <w:t>J.</w:t>
      </w:r>
      <w:r w:rsidRPr="002E5235">
        <w:tab/>
        <w:t xml:space="preserve">vzhledem k tomu, že podle čl. 4 odst. 2 maďarské ústavy požívají poslanci maďarského </w:t>
      </w:r>
      <w:r w:rsidR="00992542">
        <w:t>parlamentu</w:t>
      </w:r>
      <w:r w:rsidRPr="002E5235">
        <w:t xml:space="preserve"> imunity; vzhledem k tomu, že podle § 74 odst. 1 maďarského zákona č. XXXVI z roku 2012 o Národním shromáždění může být proti poslanci trestní řízení nebo</w:t>
      </w:r>
      <w:r w:rsidR="004311DD">
        <w:t>,</w:t>
      </w:r>
      <w:r w:rsidRPr="002E5235">
        <w:t xml:space="preserve"> nevzdal-li se poslanec v daném případě imunity dobrovolně, přestupkové řízení </w:t>
      </w:r>
      <w:r w:rsidR="004311DD" w:rsidRPr="002E5235">
        <w:t xml:space="preserve">zahájeno či vedeno </w:t>
      </w:r>
      <w:r w:rsidRPr="002E5235">
        <w:t xml:space="preserve">a donucovací opatření </w:t>
      </w:r>
      <w:r w:rsidR="007F3176">
        <w:t xml:space="preserve">v rámci trestního řízení </w:t>
      </w:r>
      <w:r w:rsidR="004311DD">
        <w:t xml:space="preserve">mohou být </w:t>
      </w:r>
      <w:r w:rsidR="004311DD" w:rsidRPr="002E5235">
        <w:t xml:space="preserve">přijata či uplatňována </w:t>
      </w:r>
      <w:r w:rsidRPr="002E5235">
        <w:t>pouze s předchozím souhlasem Národního shromáždění;</w:t>
      </w:r>
    </w:p>
    <w:p w14:paraId="10C087D9" w14:textId="77777777" w:rsidR="00A02D2A" w:rsidRPr="002E5235" w:rsidRDefault="00A02D2A" w:rsidP="00A02D2A">
      <w:pPr>
        <w:pStyle w:val="NormalHanging12a"/>
      </w:pPr>
      <w:r w:rsidRPr="002E5235">
        <w:t>K.</w:t>
      </w:r>
      <w:r w:rsidRPr="002E5235">
        <w:tab/>
        <w:t xml:space="preserve">vzhledem k tomu, že z judikatury Soudního dvora Evropské unie vyplývá, že Parlament má „velmi širokou posuzovací pravomoc, pokud jde o směr, který hodlá sledovat při rozhodování o žádosti o zbavení imunity [...], z důvodu politické povahy, kterou </w:t>
      </w:r>
      <w:r w:rsidRPr="002E5235">
        <w:lastRenderedPageBreak/>
        <w:t>takové rozhodnutí vykazuje“</w:t>
      </w:r>
      <w:r w:rsidRPr="002E5235">
        <w:rPr>
          <w:vertAlign w:val="superscript"/>
        </w:rPr>
        <w:footnoteReference w:id="2"/>
      </w:r>
      <w:r w:rsidRPr="002E5235">
        <w:t xml:space="preserve">; </w:t>
      </w:r>
    </w:p>
    <w:p w14:paraId="4528488E" w14:textId="77777777" w:rsidR="00A02D2A" w:rsidRPr="002E5235" w:rsidRDefault="00A02D2A" w:rsidP="00A02D2A">
      <w:pPr>
        <w:pStyle w:val="NormalHanging12a"/>
      </w:pPr>
      <w:r w:rsidRPr="002E5235">
        <w:t>L.</w:t>
      </w:r>
      <w:r w:rsidRPr="002E5235">
        <w:tab/>
        <w:t xml:space="preserve">vzhledem k tomu, že Klára </w:t>
      </w:r>
      <w:proofErr w:type="spellStart"/>
      <w:r w:rsidRPr="002E5235">
        <w:t>Dobrevová</w:t>
      </w:r>
      <w:proofErr w:type="spellEnd"/>
      <w:r w:rsidRPr="002E5235">
        <w:t xml:space="preserve"> je považována za hlasitou oponentku a kritičku maďarské vlády; vzhledem k tomu, že soukromým žalobcem je rovněž sestra bývalého maďarského prezidenta, který je členem vládnoucí politické strany; vzhledem k tomu, že z toho lze vyvodit, že soukromý žalobce je spojen s nejbližšími kruhy vládnoucích politických orgánů Maďarska; </w:t>
      </w:r>
    </w:p>
    <w:p w14:paraId="35743652" w14:textId="7E49C7D3" w:rsidR="00A02D2A" w:rsidRPr="002E5235" w:rsidRDefault="00A02D2A" w:rsidP="00A02D2A">
      <w:pPr>
        <w:pStyle w:val="NormalHanging12a"/>
      </w:pPr>
      <w:r w:rsidRPr="002E5235">
        <w:t>M.</w:t>
      </w:r>
      <w:r w:rsidRPr="002E5235">
        <w:tab/>
        <w:t>vzhledem k tomu, že se zdá, že podle maďarského práva lze žaloby pro pomluvu podávat na základě trestního</w:t>
      </w:r>
      <w:r w:rsidR="004311DD">
        <w:t xml:space="preserve"> i</w:t>
      </w:r>
      <w:r w:rsidR="007F3176">
        <w:t xml:space="preserve"> </w:t>
      </w:r>
      <w:r w:rsidRPr="002E5235">
        <w:t xml:space="preserve">občanského práva, s významnými rozdíly v možných právních důsledcích včetně trestu odnětí svobody; vzhledem k tomu, že v tomto případě vyvolává rozhodnutí podat trestní žalobu pochybnosti o cíli napravit skutečnou újmu na dobré pověsti, a je proto možné, že cíl žaloby přesahuje tento legitimní cíl a směřuje k poškození dobré pověsti Kláry </w:t>
      </w:r>
      <w:proofErr w:type="spellStart"/>
      <w:r w:rsidRPr="002E5235">
        <w:t>Dobrevové</w:t>
      </w:r>
      <w:proofErr w:type="spellEnd"/>
      <w:r w:rsidRPr="002E5235">
        <w:t xml:space="preserve"> jako poslankyně Evropského parlamentu;</w:t>
      </w:r>
    </w:p>
    <w:p w14:paraId="4654AD3F" w14:textId="77777777" w:rsidR="00A02D2A" w:rsidRPr="002E5235" w:rsidRDefault="00A02D2A" w:rsidP="00A02D2A">
      <w:pPr>
        <w:pStyle w:val="NormalHanging12a"/>
      </w:pPr>
      <w:r w:rsidRPr="002E5235">
        <w:t>N.</w:t>
      </w:r>
      <w:r w:rsidRPr="002E5235">
        <w:tab/>
        <w:t xml:space="preserve">vzhledem k tomu, že v době skutečností, které vedly k žádosti o zbavení poslanecké imunity, byla Klára </w:t>
      </w:r>
      <w:proofErr w:type="spellStart"/>
      <w:r w:rsidRPr="002E5235">
        <w:t>Dobrevová</w:t>
      </w:r>
      <w:proofErr w:type="spellEnd"/>
      <w:r w:rsidRPr="002E5235">
        <w:t xml:space="preserve"> členkou Výboru Evropského parlamentu pro občanské svobody, spravedlnost a vnitřní věci, který se pravidelně zabývá otázkami trestního práva, včetně ochrany dětí a souvisejících trestných činů, jako je pedofilie, a vzhledem k tomu, že Klára </w:t>
      </w:r>
      <w:proofErr w:type="spellStart"/>
      <w:r w:rsidRPr="002E5235">
        <w:t>Dobrevová</w:t>
      </w:r>
      <w:proofErr w:type="spellEnd"/>
      <w:r w:rsidRPr="002E5235">
        <w:t xml:space="preserve"> ve své činnosti poslankyně Evropského parlamentu zaujímala politické postoje a pravidelně vystupovala proti politickým orgánům své země;</w:t>
      </w:r>
    </w:p>
    <w:p w14:paraId="39873256" w14:textId="41371E27" w:rsidR="00A02D2A" w:rsidRPr="002E5235" w:rsidRDefault="00A02D2A" w:rsidP="00A02D2A">
      <w:pPr>
        <w:pStyle w:val="NormalHanging12a"/>
      </w:pPr>
      <w:r w:rsidRPr="002E5235">
        <w:t>O.</w:t>
      </w:r>
      <w:r w:rsidRPr="002E5235">
        <w:tab/>
        <w:t xml:space="preserve">vzhledem k tomu, že se proto zdá, že v tomto případě lze předpokládat </w:t>
      </w:r>
      <w:proofErr w:type="spellStart"/>
      <w:r w:rsidRPr="00823056">
        <w:rPr>
          <w:i/>
          <w:iCs/>
        </w:rPr>
        <w:t>fumus</w:t>
      </w:r>
      <w:proofErr w:type="spellEnd"/>
      <w:r w:rsidRPr="00823056">
        <w:rPr>
          <w:i/>
          <w:iCs/>
        </w:rPr>
        <w:t xml:space="preserve"> </w:t>
      </w:r>
      <w:proofErr w:type="spellStart"/>
      <w:r w:rsidRPr="00823056">
        <w:rPr>
          <w:i/>
          <w:iCs/>
        </w:rPr>
        <w:t>persecutionis</w:t>
      </w:r>
      <w:proofErr w:type="spellEnd"/>
      <w:r w:rsidRPr="002E5235">
        <w:t>, tj. existují „konkrétní důkazy“</w:t>
      </w:r>
      <w:r w:rsidRPr="002E5235">
        <w:rPr>
          <w:vertAlign w:val="superscript"/>
        </w:rPr>
        <w:footnoteReference w:id="3"/>
      </w:r>
      <w:r w:rsidRPr="002E5235">
        <w:t xml:space="preserve">, že záměrem daného soudního řízení je oslabit politickou činnost </w:t>
      </w:r>
      <w:r w:rsidR="00995B5B">
        <w:t xml:space="preserve">Kláry </w:t>
      </w:r>
      <w:proofErr w:type="spellStart"/>
      <w:r w:rsidR="00995B5B">
        <w:t>Dobrevové</w:t>
      </w:r>
      <w:proofErr w:type="spellEnd"/>
      <w:r w:rsidRPr="002E5235">
        <w:t>, žádost</w:t>
      </w:r>
      <w:r w:rsidR="0050309B">
        <w:t>í</w:t>
      </w:r>
      <w:r w:rsidRPr="002E5235">
        <w:t xml:space="preserve"> o zbavení imunity týká;</w:t>
      </w:r>
    </w:p>
    <w:p w14:paraId="12A2EF07" w14:textId="77777777" w:rsidR="00A02D2A" w:rsidRPr="002E5235" w:rsidRDefault="00A02D2A" w:rsidP="00A02D2A">
      <w:pPr>
        <w:pStyle w:val="NormalHanging12a"/>
      </w:pPr>
      <w:r w:rsidRPr="002E5235">
        <w:t>P.</w:t>
      </w:r>
      <w:r w:rsidRPr="002E5235">
        <w:tab/>
        <w:t>vzhledem k tomu, že na jedné straně Evropský parlament nelze považovat za soud a že na straně druhé poslanec nemůže být v rámci řízení o zbavení imunity považován za „obžalovaného“</w:t>
      </w:r>
      <w:r w:rsidRPr="002E5235">
        <w:rPr>
          <w:rStyle w:val="FootnoteReference"/>
          <w:color w:val="000000"/>
        </w:rPr>
        <w:footnoteReference w:id="4"/>
      </w:r>
      <w:r w:rsidRPr="002E5235">
        <w:t>;</w:t>
      </w:r>
    </w:p>
    <w:p w14:paraId="0FB89498" w14:textId="77777777" w:rsidR="00A02D2A" w:rsidRPr="002E5235" w:rsidRDefault="00A02D2A" w:rsidP="00A02D2A">
      <w:pPr>
        <w:pStyle w:val="NormalHanging12a"/>
      </w:pPr>
      <w:r w:rsidRPr="002E5235">
        <w:t>1.</w:t>
      </w:r>
      <w:r w:rsidRPr="002E5235">
        <w:tab/>
        <w:t xml:space="preserve">rozhodl, že se Klára </w:t>
      </w:r>
      <w:proofErr w:type="spellStart"/>
      <w:r w:rsidRPr="002E5235">
        <w:t>Dobrevová</w:t>
      </w:r>
      <w:proofErr w:type="spellEnd"/>
      <w:r w:rsidRPr="002E5235">
        <w:t xml:space="preserve"> nezbavuje imunity;</w:t>
      </w:r>
    </w:p>
    <w:p w14:paraId="372955C6" w14:textId="3EF84848" w:rsidR="002E5235" w:rsidRPr="002E5235" w:rsidRDefault="00A02D2A" w:rsidP="002E5235">
      <w:pPr>
        <w:pStyle w:val="NormalHanging12a"/>
      </w:pPr>
      <w:r w:rsidRPr="002E5235">
        <w:t>2.</w:t>
      </w:r>
      <w:r w:rsidRPr="002E5235">
        <w:tab/>
        <w:t xml:space="preserve">pověřuje svou předsedkyni, aby toto rozhodnutí a zprávu příslušného výboru ihned předala příslušným maďarským orgánům a Kláře </w:t>
      </w:r>
      <w:proofErr w:type="spellStart"/>
      <w:r w:rsidRPr="002E5235">
        <w:t>Dobrevové</w:t>
      </w:r>
      <w:proofErr w:type="spellEnd"/>
      <w:r w:rsidRPr="002E5235">
        <w:t>.</w:t>
      </w:r>
    </w:p>
    <w:p w14:paraId="0277DD40" w14:textId="1E44ACCE" w:rsidR="00E365E1" w:rsidRPr="002E5235" w:rsidRDefault="00E365E1" w:rsidP="009E3A41"/>
    <w:sectPr w:rsidR="00E365E1" w:rsidRPr="002E5235" w:rsidSect="002E52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90716" w14:textId="77777777" w:rsidR="009E3A41" w:rsidRPr="002E5235" w:rsidRDefault="009E3A41">
      <w:r w:rsidRPr="002E5235">
        <w:separator/>
      </w:r>
    </w:p>
  </w:endnote>
  <w:endnote w:type="continuationSeparator" w:id="0">
    <w:p w14:paraId="4222DFBF" w14:textId="77777777" w:rsidR="009E3A41" w:rsidRPr="002E5235" w:rsidRDefault="009E3A41">
      <w:r w:rsidRPr="002E52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4A018" w14:textId="77777777" w:rsidR="00064002" w:rsidRPr="002E52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C7435" w14:textId="77777777" w:rsidR="00064002" w:rsidRPr="002E52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2E7F4" w14:textId="77777777" w:rsidR="00064002" w:rsidRPr="002E52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EC69F" w14:textId="77777777" w:rsidR="009E3A41" w:rsidRPr="002E5235" w:rsidRDefault="009E3A41">
      <w:r w:rsidRPr="002E5235">
        <w:separator/>
      </w:r>
    </w:p>
  </w:footnote>
  <w:footnote w:type="continuationSeparator" w:id="0">
    <w:p w14:paraId="2D899510" w14:textId="77777777" w:rsidR="009E3A41" w:rsidRPr="002E5235" w:rsidRDefault="009E3A41">
      <w:r w:rsidRPr="002E5235">
        <w:continuationSeparator/>
      </w:r>
    </w:p>
  </w:footnote>
  <w:footnote w:id="1">
    <w:p w14:paraId="060596F6" w14:textId="35BD5C05" w:rsidR="00A02D2A" w:rsidRPr="002E5235" w:rsidRDefault="00A02D2A" w:rsidP="002E5235">
      <w:pPr>
        <w:pStyle w:val="FootnoteText"/>
        <w:ind w:left="567" w:hanging="567"/>
        <w:rPr>
          <w:sz w:val="24"/>
          <w:lang w:val="cs-CZ"/>
        </w:rPr>
      </w:pPr>
      <w:r w:rsidRPr="002E5235">
        <w:rPr>
          <w:rStyle w:val="FootnoteReference"/>
          <w:sz w:val="24"/>
          <w:lang w:val="cs-CZ"/>
        </w:rPr>
        <w:footnoteRef/>
      </w:r>
      <w:r w:rsidR="002E5235" w:rsidRPr="002E5235">
        <w:rPr>
          <w:sz w:val="24"/>
          <w:lang w:val="cs-CZ"/>
        </w:rPr>
        <w:t xml:space="preserve"> </w:t>
      </w:r>
      <w:r w:rsidR="002E5235" w:rsidRPr="002E5235">
        <w:rPr>
          <w:sz w:val="24"/>
          <w:lang w:val="cs-CZ"/>
        </w:rPr>
        <w:tab/>
      </w:r>
      <w:r w:rsidR="00DB7012">
        <w:rPr>
          <w:sz w:val="24"/>
          <w:lang w:val="cs-CZ"/>
        </w:rPr>
        <w:t>R</w:t>
      </w:r>
      <w:r w:rsidRPr="002E5235">
        <w:rPr>
          <w:sz w:val="24"/>
          <w:lang w:val="cs-CZ"/>
        </w:rPr>
        <w:t xml:space="preserve">ozsudek Soudního dvora ze dne 21. října 2008, </w:t>
      </w:r>
      <w:proofErr w:type="spellStart"/>
      <w:r w:rsidRPr="002E5235">
        <w:rPr>
          <w:sz w:val="24"/>
          <w:lang w:val="cs-CZ"/>
        </w:rPr>
        <w:t>Marra</w:t>
      </w:r>
      <w:proofErr w:type="spellEnd"/>
      <w:r w:rsidRPr="002E5235">
        <w:rPr>
          <w:sz w:val="24"/>
          <w:lang w:val="cs-CZ"/>
        </w:rPr>
        <w:t xml:space="preserve">/De </w:t>
      </w:r>
      <w:proofErr w:type="spellStart"/>
      <w:r w:rsidRPr="002E5235">
        <w:rPr>
          <w:sz w:val="24"/>
          <w:lang w:val="cs-CZ"/>
        </w:rPr>
        <w:t>Gregorio</w:t>
      </w:r>
      <w:proofErr w:type="spellEnd"/>
      <w:r w:rsidRPr="002E5235">
        <w:rPr>
          <w:sz w:val="24"/>
          <w:lang w:val="cs-CZ"/>
        </w:rPr>
        <w:t xml:space="preserve"> a Clemente, C-200/07 a C-201/07, ECLI:EU:C:2008:579; rozsudek Tribunálu ze dne 19. března 2010, </w:t>
      </w:r>
      <w:proofErr w:type="spellStart"/>
      <w:r w:rsidRPr="002E5235">
        <w:rPr>
          <w:sz w:val="24"/>
          <w:lang w:val="cs-CZ"/>
        </w:rPr>
        <w:t>Gollnisch</w:t>
      </w:r>
      <w:proofErr w:type="spellEnd"/>
      <w:r w:rsidRPr="002E5235">
        <w:rPr>
          <w:sz w:val="24"/>
          <w:lang w:val="cs-CZ"/>
        </w:rPr>
        <w:t xml:space="preserve">/Parlament, T-42/06, ECLI:EU:T:2010:102; rozsudek Soudního dvora ze dne 6. září 2011, </w:t>
      </w:r>
      <w:proofErr w:type="spellStart"/>
      <w:r w:rsidRPr="002E5235">
        <w:rPr>
          <w:sz w:val="24"/>
          <w:lang w:val="cs-CZ"/>
        </w:rPr>
        <w:t>Patriciello</w:t>
      </w:r>
      <w:proofErr w:type="spellEnd"/>
      <w:r w:rsidRPr="002E5235">
        <w:rPr>
          <w:sz w:val="24"/>
          <w:lang w:val="cs-CZ"/>
        </w:rPr>
        <w:t xml:space="preserve">, C-163/10, ECLI: EU:C:2011:543; rozsudek Tribunálu ze dne 17. ledna 2013, </w:t>
      </w:r>
      <w:proofErr w:type="spellStart"/>
      <w:r w:rsidRPr="002E5235">
        <w:rPr>
          <w:sz w:val="24"/>
          <w:lang w:val="cs-CZ"/>
        </w:rPr>
        <w:t>Gollnisch</w:t>
      </w:r>
      <w:proofErr w:type="spellEnd"/>
      <w:r w:rsidRPr="002E5235">
        <w:rPr>
          <w:sz w:val="24"/>
          <w:lang w:val="cs-CZ"/>
        </w:rPr>
        <w:t xml:space="preserve">/Parlament, T-346/11 a T-347/11, ECLI:EU:T:2013:23. rozsudek Soudního dvora ze dne 19. prosince 2019, </w:t>
      </w:r>
      <w:proofErr w:type="spellStart"/>
      <w:r w:rsidRPr="002E5235">
        <w:rPr>
          <w:sz w:val="24"/>
          <w:lang w:val="cs-CZ"/>
        </w:rPr>
        <w:t>Junqueras</w:t>
      </w:r>
      <w:proofErr w:type="spellEnd"/>
      <w:r w:rsidRPr="002E5235">
        <w:rPr>
          <w:sz w:val="24"/>
          <w:lang w:val="cs-CZ"/>
        </w:rPr>
        <w:t xml:space="preserve"> </w:t>
      </w:r>
      <w:proofErr w:type="spellStart"/>
      <w:r w:rsidRPr="002E5235">
        <w:rPr>
          <w:sz w:val="24"/>
          <w:lang w:val="cs-CZ"/>
        </w:rPr>
        <w:t>Vies</w:t>
      </w:r>
      <w:proofErr w:type="spellEnd"/>
      <w:r w:rsidRPr="002E5235">
        <w:rPr>
          <w:sz w:val="24"/>
          <w:lang w:val="cs-CZ"/>
        </w:rPr>
        <w:t xml:space="preserve">, C-502/19, ECLI:EU:C:2019:1115. rozsudek Tribunálu ze dne 5. července 2023, </w:t>
      </w:r>
      <w:proofErr w:type="spellStart"/>
      <w:r w:rsidRPr="002E5235">
        <w:rPr>
          <w:sz w:val="24"/>
          <w:lang w:val="cs-CZ"/>
        </w:rPr>
        <w:t>Puigdemont</w:t>
      </w:r>
      <w:proofErr w:type="spellEnd"/>
      <w:r w:rsidRPr="002E5235">
        <w:rPr>
          <w:sz w:val="24"/>
          <w:lang w:val="cs-CZ"/>
        </w:rPr>
        <w:t xml:space="preserve"> i </w:t>
      </w:r>
      <w:proofErr w:type="spellStart"/>
      <w:r w:rsidRPr="002E5235">
        <w:rPr>
          <w:sz w:val="24"/>
          <w:lang w:val="cs-CZ"/>
        </w:rPr>
        <w:t>Casamajó</w:t>
      </w:r>
      <w:proofErr w:type="spellEnd"/>
      <w:r w:rsidRPr="002E5235">
        <w:rPr>
          <w:sz w:val="24"/>
          <w:lang w:val="cs-CZ"/>
        </w:rPr>
        <w:t xml:space="preserve"> a další/Parlament, T-272/21, ECLI:</w:t>
      </w:r>
      <w:proofErr w:type="gramStart"/>
      <w:r w:rsidRPr="002E5235">
        <w:rPr>
          <w:sz w:val="24"/>
          <w:lang w:val="cs-CZ"/>
        </w:rPr>
        <w:t>EU:T</w:t>
      </w:r>
      <w:proofErr w:type="gramEnd"/>
      <w:r w:rsidRPr="002E5235">
        <w:rPr>
          <w:sz w:val="24"/>
          <w:lang w:val="cs-CZ"/>
        </w:rPr>
        <w:t>:2023:373.</w:t>
      </w:r>
    </w:p>
  </w:footnote>
  <w:footnote w:id="2">
    <w:p w14:paraId="1F7D0388" w14:textId="7A8C8DAA" w:rsidR="00A02D2A" w:rsidRPr="002E5235" w:rsidRDefault="00A02D2A" w:rsidP="002E5235">
      <w:pPr>
        <w:pStyle w:val="FootnoteText"/>
        <w:ind w:left="567" w:hanging="567"/>
        <w:rPr>
          <w:sz w:val="24"/>
          <w:lang w:val="cs-CZ"/>
        </w:rPr>
      </w:pPr>
      <w:r w:rsidRPr="002E5235">
        <w:rPr>
          <w:rStyle w:val="FootnoteReference"/>
          <w:sz w:val="24"/>
          <w:lang w:val="cs-CZ"/>
        </w:rPr>
        <w:footnoteRef/>
      </w:r>
      <w:r w:rsidR="002E5235" w:rsidRPr="002E5235">
        <w:rPr>
          <w:sz w:val="24"/>
          <w:lang w:val="cs-CZ"/>
        </w:rPr>
        <w:t xml:space="preserve"> </w:t>
      </w:r>
      <w:r w:rsidR="002E5235" w:rsidRPr="002E5235">
        <w:rPr>
          <w:sz w:val="24"/>
          <w:lang w:val="cs-CZ"/>
        </w:rPr>
        <w:tab/>
      </w:r>
      <w:r w:rsidRPr="002E5235">
        <w:rPr>
          <w:sz w:val="24"/>
          <w:lang w:val="cs-CZ"/>
        </w:rPr>
        <w:t xml:space="preserve">Rozsudek </w:t>
      </w:r>
      <w:r w:rsidR="00995B5B">
        <w:rPr>
          <w:sz w:val="24"/>
          <w:lang w:val="cs-CZ"/>
        </w:rPr>
        <w:t>Tribunálu</w:t>
      </w:r>
      <w:r w:rsidRPr="002E5235">
        <w:rPr>
          <w:sz w:val="24"/>
          <w:lang w:val="cs-CZ"/>
        </w:rPr>
        <w:t xml:space="preserve"> ze dne 17. ledna 2013, </w:t>
      </w:r>
      <w:proofErr w:type="spellStart"/>
      <w:r w:rsidRPr="002E5235">
        <w:rPr>
          <w:sz w:val="24"/>
          <w:lang w:val="cs-CZ"/>
        </w:rPr>
        <w:t>Gollnisch</w:t>
      </w:r>
      <w:proofErr w:type="spellEnd"/>
      <w:r w:rsidRPr="002E5235">
        <w:rPr>
          <w:sz w:val="24"/>
          <w:lang w:val="cs-CZ"/>
        </w:rPr>
        <w:t>/Parlament, T-346/11 a T-347/11, ECLI:</w:t>
      </w:r>
      <w:proofErr w:type="gramStart"/>
      <w:r w:rsidRPr="002E5235">
        <w:rPr>
          <w:sz w:val="24"/>
          <w:lang w:val="cs-CZ"/>
        </w:rPr>
        <w:t>EU:T</w:t>
      </w:r>
      <w:proofErr w:type="gramEnd"/>
      <w:r w:rsidRPr="002E5235">
        <w:rPr>
          <w:sz w:val="24"/>
          <w:lang w:val="cs-CZ"/>
        </w:rPr>
        <w:t>:2013:23, bod 59 a citovaná judikatura.</w:t>
      </w:r>
    </w:p>
  </w:footnote>
  <w:footnote w:id="3">
    <w:p w14:paraId="19FD39AC" w14:textId="295E26E3" w:rsidR="00A02D2A" w:rsidRPr="002E5235" w:rsidRDefault="00A02D2A" w:rsidP="002E5235">
      <w:pPr>
        <w:pStyle w:val="FootnoteText"/>
        <w:ind w:left="567" w:hanging="567"/>
        <w:rPr>
          <w:sz w:val="24"/>
          <w:lang w:val="cs-CZ"/>
        </w:rPr>
      </w:pPr>
      <w:r w:rsidRPr="002E5235">
        <w:rPr>
          <w:rStyle w:val="FootnoteReference"/>
          <w:sz w:val="24"/>
          <w:lang w:val="cs-CZ"/>
        </w:rPr>
        <w:footnoteRef/>
      </w:r>
      <w:r w:rsidR="002E5235" w:rsidRPr="002E5235">
        <w:rPr>
          <w:sz w:val="24"/>
          <w:lang w:val="cs-CZ"/>
        </w:rPr>
        <w:t xml:space="preserve"> </w:t>
      </w:r>
      <w:r w:rsidR="002E5235" w:rsidRPr="002E5235">
        <w:rPr>
          <w:sz w:val="24"/>
          <w:lang w:val="cs-CZ"/>
        </w:rPr>
        <w:tab/>
      </w:r>
      <w:r w:rsidRPr="002E5235">
        <w:rPr>
          <w:sz w:val="24"/>
          <w:lang w:val="cs-CZ"/>
        </w:rPr>
        <w:t xml:space="preserve">Rozsudek Soudního dvora ze dne 17. září 2020, </w:t>
      </w:r>
      <w:proofErr w:type="spellStart"/>
      <w:r w:rsidRPr="002E5235">
        <w:rPr>
          <w:sz w:val="24"/>
          <w:lang w:val="cs-CZ"/>
        </w:rPr>
        <w:t>Troszczynski</w:t>
      </w:r>
      <w:proofErr w:type="spellEnd"/>
      <w:r w:rsidRPr="002E5235">
        <w:rPr>
          <w:sz w:val="24"/>
          <w:lang w:val="cs-CZ"/>
        </w:rPr>
        <w:t>/Evropský parlament, C-12/19 P, ECLI:EU:C:2020:725, bod 26.</w:t>
      </w:r>
    </w:p>
  </w:footnote>
  <w:footnote w:id="4">
    <w:p w14:paraId="229A36FB" w14:textId="4432DEDB" w:rsidR="00A02D2A" w:rsidRPr="002E5235" w:rsidRDefault="00A02D2A" w:rsidP="002E5235">
      <w:pPr>
        <w:pStyle w:val="FootnoteText"/>
        <w:ind w:left="567" w:hanging="567"/>
        <w:rPr>
          <w:sz w:val="24"/>
          <w:lang w:val="cs-CZ"/>
        </w:rPr>
      </w:pPr>
      <w:r w:rsidRPr="002E5235">
        <w:rPr>
          <w:rStyle w:val="FootnoteReference"/>
          <w:sz w:val="24"/>
          <w:lang w:val="cs-CZ"/>
        </w:rPr>
        <w:footnoteRef/>
      </w:r>
      <w:r w:rsidR="002E5235" w:rsidRPr="002E5235">
        <w:rPr>
          <w:sz w:val="24"/>
          <w:lang w:val="cs-CZ"/>
        </w:rPr>
        <w:t xml:space="preserve"> </w:t>
      </w:r>
      <w:r w:rsidR="002E5235" w:rsidRPr="002E5235">
        <w:rPr>
          <w:sz w:val="24"/>
          <w:lang w:val="cs-CZ"/>
        </w:rPr>
        <w:tab/>
      </w:r>
      <w:r w:rsidRPr="002E5235">
        <w:rPr>
          <w:sz w:val="24"/>
          <w:lang w:val="cs-CZ"/>
        </w:rPr>
        <w:t xml:space="preserve">Rozsudek Tribunálu ze dne 30. dubna 2019, </w:t>
      </w:r>
      <w:proofErr w:type="spellStart"/>
      <w:r w:rsidRPr="002E5235">
        <w:rPr>
          <w:sz w:val="24"/>
          <w:lang w:val="cs-CZ"/>
        </w:rPr>
        <w:t>Briois</w:t>
      </w:r>
      <w:proofErr w:type="spellEnd"/>
      <w:r w:rsidRPr="002E5235">
        <w:rPr>
          <w:sz w:val="24"/>
          <w:lang w:val="cs-CZ"/>
        </w:rPr>
        <w:t>/Evropský parlament</w:t>
      </w:r>
      <w:r w:rsidRPr="002E5235">
        <w:rPr>
          <w:i/>
          <w:iCs/>
          <w:sz w:val="24"/>
          <w:lang w:val="cs-CZ"/>
        </w:rPr>
        <w:t>,</w:t>
      </w:r>
      <w:r w:rsidRPr="002E5235">
        <w:rPr>
          <w:sz w:val="24"/>
          <w:lang w:val="cs-CZ"/>
        </w:rPr>
        <w:t xml:space="preserve"> T-214/18, ECLI:</w:t>
      </w:r>
      <w:proofErr w:type="gramStart"/>
      <w:r w:rsidRPr="002E5235">
        <w:rPr>
          <w:sz w:val="24"/>
          <w:lang w:val="cs-CZ"/>
        </w:rPr>
        <w:t>EU:T</w:t>
      </w:r>
      <w:proofErr w:type="gramEnd"/>
      <w:r w:rsidRPr="002E5235">
        <w:rPr>
          <w:sz w:val="24"/>
          <w:lang w:val="cs-CZ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4847" w14:textId="77777777" w:rsidR="00064002" w:rsidRPr="002E52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8A2DE" w14:textId="77777777" w:rsidR="00064002" w:rsidRPr="002E52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31402" w14:textId="77777777" w:rsidR="00064002" w:rsidRPr="002E52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1391282">
    <w:abstractNumId w:val="9"/>
  </w:num>
  <w:num w:numId="2" w16cid:durableId="1685281586">
    <w:abstractNumId w:val="9"/>
  </w:num>
  <w:num w:numId="3" w16cid:durableId="1745568517">
    <w:abstractNumId w:val="7"/>
  </w:num>
  <w:num w:numId="4" w16cid:durableId="1214730515">
    <w:abstractNumId w:val="7"/>
  </w:num>
  <w:num w:numId="5" w16cid:durableId="566107182">
    <w:abstractNumId w:val="6"/>
  </w:num>
  <w:num w:numId="6" w16cid:durableId="1183519242">
    <w:abstractNumId w:val="6"/>
  </w:num>
  <w:num w:numId="7" w16cid:durableId="1828206176">
    <w:abstractNumId w:val="5"/>
  </w:num>
  <w:num w:numId="8" w16cid:durableId="1175388370">
    <w:abstractNumId w:val="5"/>
  </w:num>
  <w:num w:numId="9" w16cid:durableId="135341111">
    <w:abstractNumId w:val="4"/>
  </w:num>
  <w:num w:numId="10" w16cid:durableId="102697882">
    <w:abstractNumId w:val="4"/>
  </w:num>
  <w:num w:numId="11" w16cid:durableId="1581871384">
    <w:abstractNumId w:val="8"/>
  </w:num>
  <w:num w:numId="12" w16cid:durableId="2074814447">
    <w:abstractNumId w:val="8"/>
  </w:num>
  <w:num w:numId="13" w16cid:durableId="1829056671">
    <w:abstractNumId w:val="3"/>
  </w:num>
  <w:num w:numId="14" w16cid:durableId="1585840473">
    <w:abstractNumId w:val="3"/>
  </w:num>
  <w:num w:numId="15" w16cid:durableId="1463229193">
    <w:abstractNumId w:val="2"/>
  </w:num>
  <w:num w:numId="16" w16cid:durableId="2752558">
    <w:abstractNumId w:val="2"/>
  </w:num>
  <w:num w:numId="17" w16cid:durableId="783620397">
    <w:abstractNumId w:val="1"/>
  </w:num>
  <w:num w:numId="18" w16cid:durableId="1703170714">
    <w:abstractNumId w:val="1"/>
  </w:num>
  <w:num w:numId="19" w16cid:durableId="232546544">
    <w:abstractNumId w:val="0"/>
  </w:num>
  <w:num w:numId="20" w16cid:durableId="1895969777">
    <w:abstractNumId w:val="0"/>
  </w:num>
  <w:num w:numId="21" w16cid:durableId="322202189">
    <w:abstractNumId w:val="9"/>
  </w:num>
  <w:num w:numId="22" w16cid:durableId="1327241804">
    <w:abstractNumId w:val="7"/>
  </w:num>
  <w:num w:numId="23" w16cid:durableId="1033573206">
    <w:abstractNumId w:val="6"/>
  </w:num>
  <w:num w:numId="24" w16cid:durableId="854613442">
    <w:abstractNumId w:val="5"/>
  </w:num>
  <w:num w:numId="25" w16cid:durableId="1886678975">
    <w:abstractNumId w:val="4"/>
  </w:num>
  <w:num w:numId="26" w16cid:durableId="1559395709">
    <w:abstractNumId w:val="8"/>
  </w:num>
  <w:num w:numId="27" w16cid:durableId="189802923">
    <w:abstractNumId w:val="3"/>
  </w:num>
  <w:num w:numId="28" w16cid:durableId="1284459646">
    <w:abstractNumId w:val="2"/>
  </w:num>
  <w:num w:numId="29" w16cid:durableId="308898311">
    <w:abstractNumId w:val="1"/>
  </w:num>
  <w:num w:numId="30" w16cid:durableId="303966818">
    <w:abstractNumId w:val="0"/>
  </w:num>
  <w:num w:numId="31" w16cid:durableId="1598751779">
    <w:abstractNumId w:val="9"/>
  </w:num>
  <w:num w:numId="32" w16cid:durableId="1434477703">
    <w:abstractNumId w:val="7"/>
  </w:num>
  <w:num w:numId="33" w16cid:durableId="8795334">
    <w:abstractNumId w:val="6"/>
  </w:num>
  <w:num w:numId="34" w16cid:durableId="889028157">
    <w:abstractNumId w:val="5"/>
  </w:num>
  <w:num w:numId="35" w16cid:durableId="214123365">
    <w:abstractNumId w:val="4"/>
  </w:num>
  <w:num w:numId="36" w16cid:durableId="2104104698">
    <w:abstractNumId w:val="8"/>
  </w:num>
  <w:num w:numId="37" w16cid:durableId="825820904">
    <w:abstractNumId w:val="3"/>
  </w:num>
  <w:num w:numId="38" w16cid:durableId="751197764">
    <w:abstractNumId w:val="2"/>
  </w:num>
  <w:num w:numId="39" w16cid:durableId="270938016">
    <w:abstractNumId w:val="1"/>
  </w:num>
  <w:num w:numId="40" w16cid:durableId="1101607702">
    <w:abstractNumId w:val="0"/>
  </w:num>
  <w:num w:numId="41" w16cid:durableId="6448268">
    <w:abstractNumId w:val="10"/>
  </w:num>
  <w:num w:numId="42" w16cid:durableId="720175610">
    <w:abstractNumId w:val="10"/>
  </w:num>
  <w:num w:numId="43" w16cid:durableId="556673205">
    <w:abstractNumId w:val="10"/>
  </w:num>
  <w:num w:numId="44" w16cid:durableId="918287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4/2025"/>
    <w:docVar w:name="dvlangue" w:val="CS"/>
    <w:docVar w:name="dvnumam" w:val="0"/>
    <w:docVar w:name="dvpe" w:val="766.949"/>
    <w:docVar w:name="dvrapporteur" w:val="Zpravodaj: "/>
    <w:docVar w:name="dvtitre" w:val="Rozhodnutí Evropského parlamentu ze dne.... 2025 o žádosti, aby byla Klára Dobrevová zbavena imunity(2024/2042(IMM))"/>
  </w:docVars>
  <w:rsids>
    <w:rsidRoot w:val="009E3A41"/>
    <w:rsid w:val="00002272"/>
    <w:rsid w:val="00064002"/>
    <w:rsid w:val="000677B9"/>
    <w:rsid w:val="000831BA"/>
    <w:rsid w:val="000A42CC"/>
    <w:rsid w:val="000A5F19"/>
    <w:rsid w:val="000E7DD9"/>
    <w:rsid w:val="0010095E"/>
    <w:rsid w:val="00125B37"/>
    <w:rsid w:val="00152083"/>
    <w:rsid w:val="00187494"/>
    <w:rsid w:val="001F32AE"/>
    <w:rsid w:val="002767FF"/>
    <w:rsid w:val="002B18FE"/>
    <w:rsid w:val="002B5493"/>
    <w:rsid w:val="002E5235"/>
    <w:rsid w:val="0033351B"/>
    <w:rsid w:val="00343214"/>
    <w:rsid w:val="00350698"/>
    <w:rsid w:val="00361C00"/>
    <w:rsid w:val="00395FA1"/>
    <w:rsid w:val="003E15D4"/>
    <w:rsid w:val="003E6FA5"/>
    <w:rsid w:val="00411CCE"/>
    <w:rsid w:val="0041666E"/>
    <w:rsid w:val="00421060"/>
    <w:rsid w:val="004311DD"/>
    <w:rsid w:val="00471C19"/>
    <w:rsid w:val="004867E3"/>
    <w:rsid w:val="00494A28"/>
    <w:rsid w:val="004C0004"/>
    <w:rsid w:val="004C5D52"/>
    <w:rsid w:val="004D1D7F"/>
    <w:rsid w:val="0050309B"/>
    <w:rsid w:val="0050519A"/>
    <w:rsid w:val="005072A1"/>
    <w:rsid w:val="00514517"/>
    <w:rsid w:val="00545827"/>
    <w:rsid w:val="00560270"/>
    <w:rsid w:val="005C2568"/>
    <w:rsid w:val="005D5A54"/>
    <w:rsid w:val="005F1B17"/>
    <w:rsid w:val="006037C0"/>
    <w:rsid w:val="006631B6"/>
    <w:rsid w:val="00680577"/>
    <w:rsid w:val="006F74FA"/>
    <w:rsid w:val="0071367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176"/>
    <w:rsid w:val="00817416"/>
    <w:rsid w:val="00823056"/>
    <w:rsid w:val="00842779"/>
    <w:rsid w:val="00865F67"/>
    <w:rsid w:val="00881A7B"/>
    <w:rsid w:val="008840E5"/>
    <w:rsid w:val="00887B3E"/>
    <w:rsid w:val="008C2AC6"/>
    <w:rsid w:val="008C4E19"/>
    <w:rsid w:val="00930C23"/>
    <w:rsid w:val="0093193B"/>
    <w:rsid w:val="009509D8"/>
    <w:rsid w:val="00950B64"/>
    <w:rsid w:val="00981893"/>
    <w:rsid w:val="00992542"/>
    <w:rsid w:val="00995B5B"/>
    <w:rsid w:val="009E3A41"/>
    <w:rsid w:val="00A02D2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01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86A1D3"/>
  <w15:chartTrackingRefBased/>
  <w15:docId w15:val="{29C38338-6A09-494E-B95F-392D25D2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02D2A"/>
    <w:pPr>
      <w:spacing w:after="240"/>
      <w:ind w:left="567" w:hanging="567"/>
    </w:pPr>
  </w:style>
  <w:style w:type="paragraph" w:customStyle="1" w:styleId="EPComma">
    <w:name w:val="EPComma"/>
    <w:basedOn w:val="Normal"/>
    <w:rsid w:val="00A02D2A"/>
    <w:pPr>
      <w:spacing w:before="480" w:after="240"/>
    </w:pPr>
  </w:style>
  <w:style w:type="paragraph" w:styleId="Revision">
    <w:name w:val="Revision"/>
    <w:hidden/>
    <w:uiPriority w:val="99"/>
    <w:semiHidden/>
    <w:rsid w:val="007F317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990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2025-10-07T11:56:00Z</dcterms:created>
  <dcterms:modified xsi:type="dcterms:W3CDTF">2025-10-07T11:56:00Z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A10-0184/2025</vt:lpwstr>
  </property>
  <property fmtid="{D5CDD505-2E9C-101B-9397-08002B2CF9AE}" pid="4" name="&lt;Type&gt;">
    <vt:lpwstr>RR</vt:lpwstr>
  </property>
</Properties>
</file>