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49F" w14:paraId="0A737A8C" w14:textId="77777777" w:rsidTr="0010095E">
        <w:trPr>
          <w:trHeight w:hRule="exact" w:val="1418"/>
        </w:trPr>
        <w:tc>
          <w:tcPr>
            <w:tcW w:w="6804" w:type="dxa"/>
            <w:shd w:val="clear" w:color="auto" w:fill="auto"/>
            <w:vAlign w:val="center"/>
          </w:tcPr>
          <w:p w14:paraId="3BA1EAFD" w14:textId="77777777" w:rsidR="00751A4A" w:rsidRPr="00CF749F" w:rsidRDefault="00D95FD1" w:rsidP="0010095E">
            <w:pPr>
              <w:pStyle w:val="EPName"/>
            </w:pPr>
            <w:r w:rsidRPr="00CF749F">
              <w:t>Parlement européen</w:t>
            </w:r>
          </w:p>
          <w:p w14:paraId="4DC0BD95" w14:textId="77777777" w:rsidR="00751A4A" w:rsidRPr="00CF749F" w:rsidRDefault="005F1B17" w:rsidP="005F1B17">
            <w:pPr>
              <w:pStyle w:val="EPTerm"/>
              <w:rPr>
                <w:rStyle w:val="HideTWBExt"/>
                <w:noProof w:val="0"/>
                <w:vanish w:val="0"/>
                <w:color w:val="auto"/>
              </w:rPr>
            </w:pPr>
            <w:r w:rsidRPr="00CF749F">
              <w:t>2024</w:t>
            </w:r>
            <w:r w:rsidR="00817416" w:rsidRPr="00CF749F">
              <w:t>-202</w:t>
            </w:r>
            <w:r w:rsidRPr="00CF749F">
              <w:t>9</w:t>
            </w:r>
          </w:p>
        </w:tc>
        <w:tc>
          <w:tcPr>
            <w:tcW w:w="2268" w:type="dxa"/>
            <w:shd w:val="clear" w:color="auto" w:fill="auto"/>
          </w:tcPr>
          <w:p w14:paraId="7635D684" w14:textId="77777777" w:rsidR="00751A4A" w:rsidRPr="00CF749F" w:rsidRDefault="00187494" w:rsidP="0010095E">
            <w:pPr>
              <w:pStyle w:val="EPLogo"/>
            </w:pPr>
            <w:r w:rsidRPr="00CF749F">
              <w:rPr>
                <w:noProof/>
                <w:lang w:eastAsia="ja-JP"/>
              </w:rPr>
              <w:drawing>
                <wp:inline distT="0" distB="0" distL="0" distR="0" wp14:anchorId="2B16367F" wp14:editId="0E356F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30F241" w14:textId="77777777" w:rsidR="00D058B8" w:rsidRPr="00CF749F" w:rsidRDefault="00D058B8" w:rsidP="004C5D52">
      <w:pPr>
        <w:pStyle w:val="LineTop"/>
      </w:pPr>
    </w:p>
    <w:p w14:paraId="6FCA4D3A" w14:textId="77777777" w:rsidR="00680577" w:rsidRPr="00CF749F" w:rsidRDefault="00D95FD1" w:rsidP="00680577">
      <w:pPr>
        <w:pStyle w:val="EPBodyTA1"/>
      </w:pPr>
      <w:r w:rsidRPr="00CF749F">
        <w:t>TEXTES ADOPTÉS</w:t>
      </w:r>
    </w:p>
    <w:p w14:paraId="3F018AF4" w14:textId="77777777" w:rsidR="00D058B8" w:rsidRPr="00CF749F" w:rsidRDefault="00D058B8" w:rsidP="00D058B8">
      <w:pPr>
        <w:pStyle w:val="LineBottom"/>
      </w:pPr>
    </w:p>
    <w:p w14:paraId="393C873C" w14:textId="72AE5DF2" w:rsidR="00D95FD1" w:rsidRPr="00CF749F" w:rsidRDefault="00D95FD1" w:rsidP="00D95FD1">
      <w:pPr>
        <w:pStyle w:val="ATHeading1"/>
      </w:pPr>
      <w:bookmarkStart w:id="0" w:name="TANumber"/>
      <w:r w:rsidRPr="00CF749F">
        <w:t>P10_</w:t>
      </w:r>
      <w:proofErr w:type="gramStart"/>
      <w:r w:rsidRPr="00CF749F">
        <w:t>TA(</w:t>
      </w:r>
      <w:proofErr w:type="gramEnd"/>
      <w:r w:rsidRPr="00CF749F">
        <w:t>2025)0</w:t>
      </w:r>
      <w:bookmarkEnd w:id="0"/>
      <w:r w:rsidR="00BB4E54">
        <w:t>207</w:t>
      </w:r>
    </w:p>
    <w:p w14:paraId="621CE568" w14:textId="2EBBD560" w:rsidR="00D95FD1" w:rsidRPr="00CF749F" w:rsidRDefault="00CB1CEC" w:rsidP="00D95FD1">
      <w:pPr>
        <w:pStyle w:val="ATHeading2"/>
      </w:pPr>
      <w:bookmarkStart w:id="1" w:name="title"/>
      <w:r w:rsidRPr="00CB1CEC">
        <w:rPr>
          <w:bCs/>
        </w:rPr>
        <w:t xml:space="preserve">Demande de levée de l'immunité de </w:t>
      </w:r>
      <w:proofErr w:type="spellStart"/>
      <w:r w:rsidRPr="00CB1CEC">
        <w:rPr>
          <w:bCs/>
        </w:rPr>
        <w:t>Klára</w:t>
      </w:r>
      <w:proofErr w:type="spellEnd"/>
      <w:r w:rsidRPr="00CB1CEC">
        <w:rPr>
          <w:bCs/>
        </w:rPr>
        <w:t xml:space="preserve"> </w:t>
      </w:r>
      <w:proofErr w:type="spellStart"/>
      <w:r w:rsidRPr="00CB1CEC">
        <w:rPr>
          <w:bCs/>
        </w:rPr>
        <w:t>Dobrev</w:t>
      </w:r>
      <w:bookmarkEnd w:id="1"/>
      <w:proofErr w:type="spellEnd"/>
    </w:p>
    <w:p w14:paraId="0999B41B" w14:textId="77777777" w:rsidR="00D95FD1" w:rsidRPr="00CF749F" w:rsidRDefault="00D95FD1" w:rsidP="00D95FD1">
      <w:pPr>
        <w:rPr>
          <w:i/>
          <w:vanish/>
        </w:rPr>
      </w:pPr>
      <w:r w:rsidRPr="00CF749F">
        <w:rPr>
          <w:i/>
        </w:rPr>
        <w:fldChar w:fldCharType="begin"/>
      </w:r>
      <w:r w:rsidRPr="00CF749F">
        <w:rPr>
          <w:i/>
        </w:rPr>
        <w:instrText xml:space="preserve"> TC"(</w:instrText>
      </w:r>
      <w:bookmarkStart w:id="2" w:name="DocNumber"/>
      <w:r w:rsidRPr="00CF749F">
        <w:rPr>
          <w:i/>
        </w:rPr>
        <w:instrText>A10-0184/2025</w:instrText>
      </w:r>
      <w:bookmarkEnd w:id="2"/>
      <w:r w:rsidRPr="00CF749F">
        <w:rPr>
          <w:i/>
        </w:rPr>
        <w:instrText xml:space="preserve"> - Rapporteur: Ilhan Kyuchyuk)"\l3 \n&gt; \* MERGEFORMAT </w:instrText>
      </w:r>
      <w:r w:rsidRPr="00CF749F">
        <w:rPr>
          <w:i/>
        </w:rPr>
        <w:fldChar w:fldCharType="end"/>
      </w:r>
    </w:p>
    <w:p w14:paraId="689F23CF" w14:textId="77777777" w:rsidR="00D95FD1" w:rsidRPr="00CF749F" w:rsidRDefault="00D95FD1" w:rsidP="00D95FD1">
      <w:pPr>
        <w:rPr>
          <w:vanish/>
        </w:rPr>
      </w:pPr>
      <w:bookmarkStart w:id="3" w:name="Commission"/>
      <w:r w:rsidRPr="00CF749F">
        <w:rPr>
          <w:vanish/>
        </w:rPr>
        <w:t>Commission des affaires juridiques</w:t>
      </w:r>
      <w:bookmarkEnd w:id="3"/>
    </w:p>
    <w:p w14:paraId="3C2D9849" w14:textId="77777777" w:rsidR="00D95FD1" w:rsidRPr="00CF749F" w:rsidRDefault="00D95FD1" w:rsidP="00D95FD1">
      <w:pPr>
        <w:rPr>
          <w:vanish/>
        </w:rPr>
      </w:pPr>
      <w:bookmarkStart w:id="4" w:name="PE"/>
      <w:r w:rsidRPr="00CF749F">
        <w:rPr>
          <w:vanish/>
        </w:rPr>
        <w:t>PE766.949</w:t>
      </w:r>
      <w:bookmarkEnd w:id="4"/>
    </w:p>
    <w:p w14:paraId="3C380B6D" w14:textId="0752822A" w:rsidR="00D95FD1" w:rsidRPr="00CF749F" w:rsidRDefault="00D95FD1" w:rsidP="00D95FD1">
      <w:pPr>
        <w:pStyle w:val="ATHeading3"/>
      </w:pPr>
      <w:bookmarkStart w:id="5" w:name="Sujet"/>
      <w:r w:rsidRPr="00CF749F">
        <w:t xml:space="preserve">Décision du Parlement européen du </w:t>
      </w:r>
      <w:r w:rsidR="00CB1CEC">
        <w:t>7 octobre</w:t>
      </w:r>
      <w:r w:rsidRPr="00CF749F">
        <w:t xml:space="preserve"> 2025 sur la demande de levée de l’immunité de </w:t>
      </w:r>
      <w:proofErr w:type="spellStart"/>
      <w:r w:rsidRPr="00CF749F">
        <w:t>Klára</w:t>
      </w:r>
      <w:proofErr w:type="spellEnd"/>
      <w:r w:rsidRPr="00CF749F">
        <w:t> </w:t>
      </w:r>
      <w:proofErr w:type="spellStart"/>
      <w:r w:rsidRPr="00CF749F">
        <w:t>Dobrev</w:t>
      </w:r>
      <w:bookmarkEnd w:id="5"/>
      <w:proofErr w:type="spellEnd"/>
      <w:r w:rsidRPr="00CF749F">
        <w:t xml:space="preserve"> </w:t>
      </w:r>
      <w:bookmarkStart w:id="6" w:name="References"/>
      <w:r w:rsidRPr="00CF749F">
        <w:t>(2024/2042(IMM))</w:t>
      </w:r>
      <w:bookmarkEnd w:id="6"/>
    </w:p>
    <w:p w14:paraId="7F8A490D" w14:textId="77777777" w:rsidR="00445C04" w:rsidRPr="00CF749F" w:rsidRDefault="00445C04" w:rsidP="00445C04">
      <w:pPr>
        <w:pStyle w:val="EPComma"/>
      </w:pPr>
      <w:bookmarkStart w:id="7" w:name="TextBodyBegin"/>
      <w:bookmarkEnd w:id="7"/>
      <w:r w:rsidRPr="00CF749F">
        <w:rPr>
          <w:i/>
        </w:rPr>
        <w:t>Le Parlement européen</w:t>
      </w:r>
      <w:r w:rsidRPr="00CF749F">
        <w:t>,</w:t>
      </w:r>
    </w:p>
    <w:p w14:paraId="77217633" w14:textId="1BB9F740" w:rsidR="00445C04" w:rsidRPr="00CF749F" w:rsidRDefault="00445C04" w:rsidP="00445C04">
      <w:pPr>
        <w:pStyle w:val="NormalHanging12a"/>
      </w:pPr>
      <w:r w:rsidRPr="00CF749F">
        <w:t>–</w:t>
      </w:r>
      <w:r w:rsidRPr="00CF749F">
        <w:tab/>
        <w:t xml:space="preserve">vu la demande de levée de l’immunité de </w:t>
      </w:r>
      <w:proofErr w:type="spellStart"/>
      <w:r w:rsidRPr="00CF749F">
        <w:t>Klára</w:t>
      </w:r>
      <w:proofErr w:type="spellEnd"/>
      <w:r w:rsidRPr="00CF749F">
        <w:t> </w:t>
      </w:r>
      <w:proofErr w:type="spellStart"/>
      <w:r w:rsidRPr="00CF749F">
        <w:t>Dobrev</w:t>
      </w:r>
      <w:proofErr w:type="spellEnd"/>
      <w:r w:rsidRPr="00CF749F">
        <w:t xml:space="preserve">, présentée le 29 août 2024 par le tribunal d’arrondissement de Budapest II et III </w:t>
      </w:r>
      <w:r w:rsidR="00485572">
        <w:t xml:space="preserve">en liaison avec </w:t>
      </w:r>
      <w:r w:rsidRPr="00CF749F">
        <w:t xml:space="preserve">une procédure pénale pendante engagée contre elle </w:t>
      </w:r>
      <w:r w:rsidR="00F07CAF">
        <w:t>sur la base d’une plainte</w:t>
      </w:r>
      <w:r w:rsidR="00F46387">
        <w:t xml:space="preserve"> avec constitution de partie civile</w:t>
      </w:r>
      <w:r w:rsidRPr="00CF749F">
        <w:t xml:space="preserve">, et </w:t>
      </w:r>
      <w:r w:rsidR="00485572">
        <w:t>communiquée</w:t>
      </w:r>
      <w:r w:rsidRPr="00CF749F">
        <w:t xml:space="preserve"> en séance plénière le 16 septembre 2024,</w:t>
      </w:r>
    </w:p>
    <w:p w14:paraId="59C073BE" w14:textId="77777777" w:rsidR="00445C04" w:rsidRPr="00CF749F" w:rsidRDefault="00445C04" w:rsidP="00445C04">
      <w:pPr>
        <w:pStyle w:val="NormalHanging12a"/>
      </w:pPr>
      <w:r w:rsidRPr="00CF749F">
        <w:t>–</w:t>
      </w:r>
      <w:r w:rsidRPr="00CF749F">
        <w:tab/>
        <w:t xml:space="preserve">ayant entendu </w:t>
      </w:r>
      <w:proofErr w:type="spellStart"/>
      <w:r w:rsidRPr="00CF749F">
        <w:t>Klára</w:t>
      </w:r>
      <w:proofErr w:type="spellEnd"/>
      <w:r w:rsidRPr="00CF749F">
        <w:t> </w:t>
      </w:r>
      <w:proofErr w:type="spellStart"/>
      <w:r w:rsidRPr="00CF749F">
        <w:t>Dobrev</w:t>
      </w:r>
      <w:proofErr w:type="spellEnd"/>
      <w:r w:rsidRPr="00CF749F">
        <w:t xml:space="preserve"> le 29 janvier 2025, conformément à l’article 9, paragraphe 6, de son règlement intérieur,</w:t>
      </w:r>
    </w:p>
    <w:p w14:paraId="47252B8C" w14:textId="77777777" w:rsidR="00445C04" w:rsidRPr="00CF749F" w:rsidRDefault="00445C04" w:rsidP="00445C04">
      <w:pPr>
        <w:pStyle w:val="NormalHanging12a"/>
      </w:pPr>
      <w:r w:rsidRPr="00CF749F">
        <w:t>–</w:t>
      </w:r>
      <w:r w:rsidRPr="00CF749F">
        <w:tab/>
        <w:t>vu les articles 8 et 9 du protocole n</w:t>
      </w:r>
      <w:r w:rsidRPr="00CF749F">
        <w:rPr>
          <w:vertAlign w:val="superscript"/>
        </w:rPr>
        <w:t>o</w:t>
      </w:r>
      <w:r w:rsidRPr="00CF749F">
        <w:t> 7 sur les privilèges et immunités de l’Union européenne ainsi que l’article 6, paragraphe 2, de l’acte portant élection des membres du Parlement européen au suffrage universel direct, du 20 septembre 1976,</w:t>
      </w:r>
    </w:p>
    <w:p w14:paraId="7804666F" w14:textId="598233BE" w:rsidR="00445C04" w:rsidRPr="00CF749F" w:rsidRDefault="00445C04" w:rsidP="00445C04">
      <w:pPr>
        <w:pStyle w:val="NormalHanging12a"/>
      </w:pPr>
      <w:r w:rsidRPr="00CF749F">
        <w:t>–</w:t>
      </w:r>
      <w:r w:rsidRPr="00CF749F">
        <w:tab/>
        <w:t xml:space="preserve">vu l’article 4, paragraphe 2, de la </w:t>
      </w:r>
      <w:r w:rsidR="00485572">
        <w:t>l</w:t>
      </w:r>
      <w:r w:rsidRPr="00CF749F">
        <w:t xml:space="preserve">oi fondamentale de la Hongrie, </w:t>
      </w:r>
    </w:p>
    <w:p w14:paraId="5BDAA297" w14:textId="77777777" w:rsidR="00445C04" w:rsidRPr="00CF749F" w:rsidRDefault="00445C04" w:rsidP="00445C04">
      <w:pPr>
        <w:pStyle w:val="NormalHanging12a"/>
      </w:pPr>
      <w:r w:rsidRPr="00CF749F">
        <w:t>–</w:t>
      </w:r>
      <w:r w:rsidRPr="00CF749F">
        <w:tab/>
        <w:t>vu les arrêts rendus par la Cour de justice de l’Union européenne les 21 octobre 2008, 19 mars 2010, 6 septembre 2011, 17 janvier 2013, 19 décembre 2019 et 5 juillet 2023</w:t>
      </w:r>
      <w:r w:rsidRPr="00CF749F">
        <w:rPr>
          <w:rStyle w:val="FootnoteReference"/>
          <w:color w:val="000000"/>
        </w:rPr>
        <w:footnoteReference w:id="1"/>
      </w:r>
      <w:r w:rsidRPr="00CF749F">
        <w:t>,</w:t>
      </w:r>
    </w:p>
    <w:p w14:paraId="6D9C54D8" w14:textId="77777777" w:rsidR="00445C04" w:rsidRPr="00CF749F" w:rsidRDefault="00445C04" w:rsidP="00445C04">
      <w:pPr>
        <w:pStyle w:val="NormalHanging12a"/>
      </w:pPr>
      <w:r w:rsidRPr="00CF749F">
        <w:t>–</w:t>
      </w:r>
      <w:r w:rsidRPr="00CF749F">
        <w:tab/>
        <w:t>vu l’article 5, paragraphe 2, l’article 6, paragraphe 1, et l’article 9 de son règlement intérieur,</w:t>
      </w:r>
    </w:p>
    <w:p w14:paraId="216FC214" w14:textId="77777777" w:rsidR="00445C04" w:rsidRPr="00CF749F" w:rsidRDefault="00445C04" w:rsidP="00445C04">
      <w:pPr>
        <w:pStyle w:val="NormalHanging12a"/>
      </w:pPr>
      <w:r w:rsidRPr="00CF749F">
        <w:t>–</w:t>
      </w:r>
      <w:r w:rsidRPr="00CF749F">
        <w:tab/>
        <w:t>vu le rapport de la commission des affaires juridiques (A10-0184/2025),</w:t>
      </w:r>
    </w:p>
    <w:p w14:paraId="57754A69" w14:textId="77FC1B24" w:rsidR="00445C04" w:rsidRPr="00CF749F" w:rsidRDefault="00445C04" w:rsidP="00445C04">
      <w:pPr>
        <w:pStyle w:val="NormalHanging12a"/>
      </w:pPr>
      <w:r w:rsidRPr="00CF749F">
        <w:t>A.</w:t>
      </w:r>
      <w:r w:rsidRPr="00CF749F">
        <w:tab/>
        <w:t xml:space="preserve">considérant que, le 29 août 2024, le tribunal d’arrondissement de Budapest II et III a présenté une demande de levée de l’immunité parlementaire de </w:t>
      </w:r>
      <w:proofErr w:type="spellStart"/>
      <w:r w:rsidRPr="00CF749F">
        <w:t>Klára</w:t>
      </w:r>
      <w:proofErr w:type="spellEnd"/>
      <w:r w:rsidRPr="00CF749F">
        <w:t> </w:t>
      </w:r>
      <w:proofErr w:type="spellStart"/>
      <w:r w:rsidRPr="00CF749F">
        <w:t>Dobrev</w:t>
      </w:r>
      <w:proofErr w:type="spellEnd"/>
      <w:r w:rsidRPr="00CF749F">
        <w:t xml:space="preserve">, députée </w:t>
      </w:r>
      <w:r w:rsidRPr="00CF749F">
        <w:lastRenderedPageBreak/>
        <w:t>au Parlement européen élue en Hongrie, dans le cadre d’une procédure pénale pour diffamation engagée contre elle</w:t>
      </w:r>
      <w:r w:rsidR="00485572">
        <w:t xml:space="preserve"> </w:t>
      </w:r>
      <w:r w:rsidR="00CB1CEC" w:rsidRPr="00CB1CEC">
        <w:t>par un plaignant privé.</w:t>
      </w:r>
    </w:p>
    <w:p w14:paraId="49B4937B" w14:textId="751C9639" w:rsidR="00445C04" w:rsidRPr="00CF749F" w:rsidRDefault="00445C04" w:rsidP="00445C04">
      <w:pPr>
        <w:pStyle w:val="NormalHanging12a"/>
      </w:pPr>
      <w:r w:rsidRPr="00CF749F">
        <w:t>B.</w:t>
      </w:r>
      <w:r w:rsidRPr="00CF749F">
        <w:tab/>
        <w:t xml:space="preserve">considérant que, d’après la plainte, le 22 février 2024, </w:t>
      </w:r>
      <w:proofErr w:type="spellStart"/>
      <w:r w:rsidRPr="00CF749F">
        <w:t>Klára</w:t>
      </w:r>
      <w:proofErr w:type="spellEnd"/>
      <w:r w:rsidRPr="00CF749F">
        <w:t> </w:t>
      </w:r>
      <w:proofErr w:type="spellStart"/>
      <w:r w:rsidRPr="00CF749F">
        <w:t>Dobrev</w:t>
      </w:r>
      <w:proofErr w:type="spellEnd"/>
      <w:r w:rsidRPr="00CF749F">
        <w:t xml:space="preserve"> a publié une photo sur les réseaux sociaux montrant le Premier ministre hongrois aux côtés </w:t>
      </w:r>
      <w:r w:rsidR="00E05D90">
        <w:t>du</w:t>
      </w:r>
      <w:r w:rsidR="00485572">
        <w:t xml:space="preserve"> </w:t>
      </w:r>
      <w:r w:rsidRPr="00CF749F">
        <w:t>plaignant</w:t>
      </w:r>
      <w:r w:rsidR="00485572">
        <w:t xml:space="preserve"> privé</w:t>
      </w:r>
      <w:r w:rsidRPr="00CF749F">
        <w:t xml:space="preserve">, accompagnée d’une légende par laquelle elle affirmait que </w:t>
      </w:r>
      <w:r w:rsidR="00E05D90">
        <w:t xml:space="preserve">le plaignant </w:t>
      </w:r>
      <w:r w:rsidR="00485572">
        <w:t xml:space="preserve">privé </w:t>
      </w:r>
      <w:r w:rsidRPr="00CF749F">
        <w:t>était</w:t>
      </w:r>
      <w:proofErr w:type="gramStart"/>
      <w:r w:rsidR="00B765DD">
        <w:t xml:space="preserve"> </w:t>
      </w:r>
      <w:r w:rsidRPr="00CF749F">
        <w:t>«également</w:t>
      </w:r>
      <w:proofErr w:type="gramEnd"/>
      <w:r w:rsidRPr="00CF749F">
        <w:t xml:space="preserve"> coupable dans un scandale de pédophilie» qui se déroulait en Hongrie à ce moment-là;</w:t>
      </w:r>
    </w:p>
    <w:p w14:paraId="2F8AC0C2" w14:textId="2BC8BD06" w:rsidR="00445C04" w:rsidRDefault="00445C04" w:rsidP="00445C04">
      <w:pPr>
        <w:pStyle w:val="NormalHanging12a"/>
      </w:pPr>
      <w:r w:rsidRPr="00CF749F">
        <w:t>C.</w:t>
      </w:r>
      <w:r w:rsidRPr="00CF749F">
        <w:tab/>
        <w:t xml:space="preserve">considérant qu’en publiant cette photo, </w:t>
      </w:r>
      <w:proofErr w:type="spellStart"/>
      <w:r w:rsidRPr="00CF749F">
        <w:t>Klára</w:t>
      </w:r>
      <w:proofErr w:type="spellEnd"/>
      <w:r w:rsidRPr="00CF749F">
        <w:t> </w:t>
      </w:r>
      <w:proofErr w:type="spellStart"/>
      <w:r w:rsidRPr="00CF749F">
        <w:t>Dobrev</w:t>
      </w:r>
      <w:proofErr w:type="spellEnd"/>
      <w:r w:rsidRPr="00CF749F">
        <w:t xml:space="preserve"> aurait commis une infraction de diffamation publique, telle que visée à l’article 226, paragraphe 1, et à l’article 226, paragraphe 2, point b), de la loi C de 2012 relative au Code pénal </w:t>
      </w:r>
      <w:proofErr w:type="gramStart"/>
      <w:r w:rsidRPr="00CF749F">
        <w:t>hongrois;</w:t>
      </w:r>
      <w:proofErr w:type="gramEnd"/>
      <w:r w:rsidRPr="00CF749F">
        <w:t xml:space="preserve"> que conformément à l’article 231, paragraphe 2, du Code pénal hongrois, cette infraction ne peut être punie que dans le cadre d’une action engagée </w:t>
      </w:r>
      <w:r w:rsidR="00803FA8">
        <w:t>sur la base d’une plainte</w:t>
      </w:r>
      <w:r w:rsidRPr="00CF749F">
        <w:t>;</w:t>
      </w:r>
    </w:p>
    <w:p w14:paraId="50935B35" w14:textId="1CA481F4" w:rsidR="00EF089F" w:rsidRPr="00CF749F" w:rsidRDefault="00EF089F" w:rsidP="00EF089F">
      <w:pPr>
        <w:pStyle w:val="NormalHanging12a"/>
      </w:pPr>
      <w:r w:rsidRPr="00CF749F">
        <w:t>D.</w:t>
      </w:r>
      <w:r w:rsidRPr="00CF749F">
        <w:tab/>
      </w:r>
      <w:r>
        <w:t>c</w:t>
      </w:r>
      <w:r w:rsidRPr="00EF089F">
        <w:t xml:space="preserve">onsidérant que </w:t>
      </w:r>
      <w:proofErr w:type="spellStart"/>
      <w:r w:rsidRPr="00EF089F">
        <w:t>Klára</w:t>
      </w:r>
      <w:proofErr w:type="spellEnd"/>
      <w:r w:rsidRPr="00EF089F">
        <w:t xml:space="preserve"> </w:t>
      </w:r>
      <w:proofErr w:type="spellStart"/>
      <w:r w:rsidRPr="00EF089F">
        <w:t>Dobrev</w:t>
      </w:r>
      <w:proofErr w:type="spellEnd"/>
      <w:r w:rsidRPr="00EF089F">
        <w:t xml:space="preserve"> a été élue lors des élections européennes de 2019 et qu’elle était députée au Parlement européen au moment de l’infraction </w:t>
      </w:r>
      <w:proofErr w:type="gramStart"/>
      <w:r w:rsidRPr="00EF089F">
        <w:t>présumée</w:t>
      </w:r>
      <w:r>
        <w:t>;</w:t>
      </w:r>
      <w:proofErr w:type="gramEnd"/>
      <w:r>
        <w:t xml:space="preserve"> </w:t>
      </w:r>
    </w:p>
    <w:p w14:paraId="79119B9A" w14:textId="5D05B582" w:rsidR="00445C04" w:rsidRPr="00CF749F" w:rsidRDefault="00EF089F" w:rsidP="00445C04">
      <w:pPr>
        <w:pStyle w:val="NormalHanging12a"/>
      </w:pPr>
      <w:r>
        <w:t>E</w:t>
      </w:r>
      <w:r w:rsidR="00445C04" w:rsidRPr="00CF749F">
        <w:t>.</w:t>
      </w:r>
      <w:r w:rsidR="00445C04" w:rsidRPr="00CF749F">
        <w:tab/>
        <w:t xml:space="preserve">considérant que l’immunité </w:t>
      </w:r>
      <w:r w:rsidRPr="00EF089F">
        <w:t>prévu</w:t>
      </w:r>
      <w:r w:rsidR="00803FA8">
        <w:t>e</w:t>
      </w:r>
      <w:r w:rsidRPr="00EF089F">
        <w:t xml:space="preserve"> dans le </w:t>
      </w:r>
      <w:r>
        <w:t>p</w:t>
      </w:r>
      <w:r w:rsidRPr="00EF089F">
        <w:t>rotocole n° 7 sur les privilèges et immunités de l’Union européenn</w:t>
      </w:r>
      <w:r>
        <w:t xml:space="preserve">e </w:t>
      </w:r>
      <w:r w:rsidR="00445C04" w:rsidRPr="00CF749F">
        <w:t>a pour objet de protéger le Parlement et ses députés contre des procédures judiciaires visant des activités menées dans l’exercice des fonctions parlementaires et indissociables de celles-</w:t>
      </w:r>
      <w:proofErr w:type="gramStart"/>
      <w:r w:rsidR="00445C04" w:rsidRPr="00CF749F">
        <w:t>ci;</w:t>
      </w:r>
      <w:proofErr w:type="gramEnd"/>
    </w:p>
    <w:p w14:paraId="338B6DF0" w14:textId="53C43873" w:rsidR="00445C04" w:rsidRPr="00CF749F" w:rsidRDefault="00EF089F" w:rsidP="00445C04">
      <w:pPr>
        <w:pStyle w:val="NormalHanging12a"/>
      </w:pPr>
      <w:r>
        <w:t>F</w:t>
      </w:r>
      <w:r w:rsidR="00445C04" w:rsidRPr="00CF749F">
        <w:t>.</w:t>
      </w:r>
      <w:r w:rsidR="00445C04" w:rsidRPr="00CF749F">
        <w:tab/>
        <w:t xml:space="preserve">considérant que l’article 5, paragraphe 2, de son règlement intérieur dispose que dans l’exercice de ses pouvoirs relatifs aux privilèges et aux immunités, le Parlement s’emploie à conserver son intégrité en tant qu’assemblée législative démocratique et à assurer l’indépendance des députés dans l’exercice de leurs </w:t>
      </w:r>
      <w:proofErr w:type="gramStart"/>
      <w:r w:rsidR="00445C04" w:rsidRPr="00CF749F">
        <w:t>fonctions;</w:t>
      </w:r>
      <w:proofErr w:type="gramEnd"/>
    </w:p>
    <w:p w14:paraId="7570E3D5" w14:textId="1C6ACD11" w:rsidR="00445C04" w:rsidRPr="00CF749F" w:rsidRDefault="00EF089F" w:rsidP="00445C04">
      <w:pPr>
        <w:pStyle w:val="NormalHanging12a"/>
      </w:pPr>
      <w:r>
        <w:t>G</w:t>
      </w:r>
      <w:r w:rsidR="00445C04" w:rsidRPr="00CF749F">
        <w:t>.</w:t>
      </w:r>
      <w:r w:rsidR="00445C04" w:rsidRPr="00CF749F">
        <w:tab/>
        <w:t xml:space="preserve">considérant qu’aux termes de l’article 8 du protocole nº 7 sur les privilèges et immunités de l’Union européenne, les membres du Parlement européen ne peuvent être recherchés, détenus ou poursuivis en raison des opinions ou votes émis par eux dans l’exercice de leurs </w:t>
      </w:r>
      <w:proofErr w:type="gramStart"/>
      <w:r w:rsidR="00445C04" w:rsidRPr="00CF749F">
        <w:t>fonctions;</w:t>
      </w:r>
      <w:proofErr w:type="gramEnd"/>
    </w:p>
    <w:p w14:paraId="06E1626F" w14:textId="356A470A" w:rsidR="00445C04" w:rsidRPr="00CF749F" w:rsidRDefault="00EF089F" w:rsidP="00445C04">
      <w:pPr>
        <w:pStyle w:val="NormalHanging12a"/>
      </w:pPr>
      <w:r>
        <w:t>H</w:t>
      </w:r>
      <w:r w:rsidR="00445C04" w:rsidRPr="00CF749F">
        <w:t>.</w:t>
      </w:r>
      <w:r w:rsidR="00445C04" w:rsidRPr="00CF749F">
        <w:tab/>
        <w:t xml:space="preserve">considérant que l’infraction présumée n’est pas constitutive d’une opinion ou d’un vote émis par </w:t>
      </w:r>
      <w:proofErr w:type="spellStart"/>
      <w:r w:rsidR="00445C04" w:rsidRPr="00CF749F">
        <w:t>Klára</w:t>
      </w:r>
      <w:proofErr w:type="spellEnd"/>
      <w:r w:rsidR="00445C04" w:rsidRPr="00CF749F">
        <w:t> </w:t>
      </w:r>
      <w:proofErr w:type="spellStart"/>
      <w:r w:rsidR="00445C04" w:rsidRPr="00CF749F">
        <w:t>Dobrev</w:t>
      </w:r>
      <w:proofErr w:type="spellEnd"/>
      <w:r w:rsidR="00445C04" w:rsidRPr="00CF749F">
        <w:t xml:space="preserve"> dans l’exercice de ses fonctions au sens de l’article 8 du protocole nº 7 sur les privilèges et immunités de l’Union européenne et que la demande de levée de l’immunité de </w:t>
      </w:r>
      <w:proofErr w:type="spellStart"/>
      <w:r w:rsidR="00445C04" w:rsidRPr="00CF749F">
        <w:t>Klára</w:t>
      </w:r>
      <w:proofErr w:type="spellEnd"/>
      <w:r w:rsidR="00445C04" w:rsidRPr="00CF749F">
        <w:t> </w:t>
      </w:r>
      <w:proofErr w:type="spellStart"/>
      <w:r w:rsidR="00445C04" w:rsidRPr="00CF749F">
        <w:t>Dobrev</w:t>
      </w:r>
      <w:proofErr w:type="spellEnd"/>
      <w:r w:rsidR="00445C04" w:rsidRPr="00CF749F">
        <w:t xml:space="preserve"> qui en découle n’est pas liée à une telle opinion ou à un tel </w:t>
      </w:r>
      <w:proofErr w:type="gramStart"/>
      <w:r w:rsidR="00445C04" w:rsidRPr="00CF749F">
        <w:t>vote;</w:t>
      </w:r>
      <w:proofErr w:type="gramEnd"/>
    </w:p>
    <w:p w14:paraId="0F8A0023" w14:textId="607BE342" w:rsidR="00445C04" w:rsidRPr="00CF749F" w:rsidRDefault="00A36CA9" w:rsidP="00445C04">
      <w:pPr>
        <w:pStyle w:val="NormalHanging12a"/>
      </w:pPr>
      <w:r>
        <w:t>I</w:t>
      </w:r>
      <w:r w:rsidR="00445C04" w:rsidRPr="00CF749F">
        <w:t>.</w:t>
      </w:r>
      <w:r w:rsidR="00445C04" w:rsidRPr="00CF749F">
        <w:tab/>
        <w:t xml:space="preserve">considérant que l’article 9, premier alinéa, point a), du protocole nº 7 sur les privilèges et immunités de l’Union européenne dispose que les membres du Parlement européen bénéficient, sur leur territoire national, des immunités reconnues aux membres du parlement de leur </w:t>
      </w:r>
      <w:proofErr w:type="gramStart"/>
      <w:r w:rsidR="00803FA8" w:rsidRPr="00803FA8">
        <w:t>État</w:t>
      </w:r>
      <w:r w:rsidR="00445C04" w:rsidRPr="00CF749F">
        <w:t>;</w:t>
      </w:r>
      <w:proofErr w:type="gramEnd"/>
    </w:p>
    <w:p w14:paraId="3C3400F4" w14:textId="5EC4F5E3" w:rsidR="00445C04" w:rsidRPr="00CF749F" w:rsidRDefault="00A36CA9" w:rsidP="00445C04">
      <w:pPr>
        <w:pStyle w:val="NormalHanging12a"/>
      </w:pPr>
      <w:r>
        <w:t>J</w:t>
      </w:r>
      <w:r w:rsidR="00445C04" w:rsidRPr="00CF749F">
        <w:t>.</w:t>
      </w:r>
      <w:r w:rsidR="00445C04" w:rsidRPr="00CF749F">
        <w:tab/>
        <w:t>considérant que l’article 4, paragraphe 2, de la loi fondamentale de la Hongrie dispose que les membres d</w:t>
      </w:r>
      <w:r w:rsidR="003949D5">
        <w:t>u</w:t>
      </w:r>
      <w:r w:rsidR="00445C04" w:rsidRPr="00CF749F">
        <w:t xml:space="preserve"> </w:t>
      </w:r>
      <w:r w:rsidR="003949D5">
        <w:t>Parlement</w:t>
      </w:r>
      <w:r w:rsidR="00445C04" w:rsidRPr="00CF749F">
        <w:t xml:space="preserve"> hongrois bénéficient de l’immunité parlementaire; qu’en vertu de </w:t>
      </w:r>
      <w:bookmarkStart w:id="8" w:name="_Hlk210738415"/>
      <w:r w:rsidR="00B765DD">
        <w:t>l’article</w:t>
      </w:r>
      <w:r w:rsidR="00445C04" w:rsidRPr="00CF749F">
        <w:t> 74, paragraphe 1, de la loi n</w:t>
      </w:r>
      <w:r w:rsidR="00445C04" w:rsidRPr="00CF749F">
        <w:rPr>
          <w:vertAlign w:val="superscript"/>
        </w:rPr>
        <w:t>o</w:t>
      </w:r>
      <w:r w:rsidR="00445C04" w:rsidRPr="00CF749F">
        <w:t xml:space="preserve"> XXXVI de 2012 </w:t>
      </w:r>
      <w:bookmarkEnd w:id="8"/>
      <w:r w:rsidR="00445C04" w:rsidRPr="00CF749F">
        <w:t xml:space="preserve">relative à l’Assemblée nationale, une procédure pénale ou, en cas de refus de levée volontaire de l’immunité dans le cadre de l’affaire en question, une procédure pour </w:t>
      </w:r>
      <w:r w:rsidR="00803FA8">
        <w:t xml:space="preserve">infraction </w:t>
      </w:r>
      <w:r w:rsidR="00445C04" w:rsidRPr="00CF749F">
        <w:t>ne peut être engagée ou poursuivie, et un député ne peut faire l’objet de mesures pénales contraignantes, sans l’accord préalable de l’Assemblée nationale;</w:t>
      </w:r>
    </w:p>
    <w:p w14:paraId="321559FF" w14:textId="7036B841" w:rsidR="00445C04" w:rsidRPr="00CF749F" w:rsidRDefault="00A36CA9" w:rsidP="00445C04">
      <w:pPr>
        <w:pStyle w:val="NormalHanging12a"/>
      </w:pPr>
      <w:r>
        <w:lastRenderedPageBreak/>
        <w:t>K</w:t>
      </w:r>
      <w:r w:rsidR="00445C04" w:rsidRPr="00CF749F">
        <w:t>.</w:t>
      </w:r>
      <w:r w:rsidR="00445C04" w:rsidRPr="00CF749F">
        <w:tab/>
        <w:t>considérant qu’il ressort de la jurisprudence de la Cour de justice de l’Union européenne que le Parlement dispose d’un</w:t>
      </w:r>
      <w:proofErr w:type="gramStart"/>
      <w:r w:rsidR="00445C04" w:rsidRPr="00CF749F">
        <w:t xml:space="preserve"> «très</w:t>
      </w:r>
      <w:proofErr w:type="gramEnd"/>
      <w:r w:rsidR="00445C04" w:rsidRPr="00CF749F">
        <w:t xml:space="preserve"> large pouvoir d’appréciation quant à l’orientation qu’il entend donner à une décision faisant suite à une demande de levée d’immunité </w:t>
      </w:r>
      <w:bookmarkStart w:id="9" w:name="_Hlk210731698"/>
      <w:r w:rsidR="00E05D90">
        <w:t xml:space="preserve">ou de défense </w:t>
      </w:r>
      <w:r w:rsidR="00E05D90" w:rsidRPr="00385FD7">
        <w:t>d</w:t>
      </w:r>
      <w:r w:rsidR="00E05D90">
        <w:t>e l</w:t>
      </w:r>
      <w:r w:rsidR="00E05D90" w:rsidRPr="00385FD7">
        <w:t>’immunité</w:t>
      </w:r>
      <w:bookmarkEnd w:id="9"/>
      <w:r w:rsidR="00445C04" w:rsidRPr="00CF749F">
        <w:t>, en raison du caractère politique que revêt une telle décision»</w:t>
      </w:r>
      <w:r w:rsidR="00445C04" w:rsidRPr="00CF749F">
        <w:rPr>
          <w:vertAlign w:val="superscript"/>
        </w:rPr>
        <w:footnoteReference w:id="2"/>
      </w:r>
      <w:r w:rsidR="00445C04" w:rsidRPr="00CF749F">
        <w:t xml:space="preserve">; </w:t>
      </w:r>
    </w:p>
    <w:p w14:paraId="782A5ECE" w14:textId="1D50FFA9" w:rsidR="00445C04" w:rsidRPr="00CF749F" w:rsidRDefault="00A36CA9" w:rsidP="00445C04">
      <w:pPr>
        <w:pStyle w:val="NormalHanging12a"/>
      </w:pPr>
      <w:r>
        <w:t>L</w:t>
      </w:r>
      <w:r w:rsidR="00445C04" w:rsidRPr="00CF749F">
        <w:t>.</w:t>
      </w:r>
      <w:r w:rsidR="00445C04" w:rsidRPr="00CF749F">
        <w:tab/>
        <w:t xml:space="preserve">considérant que </w:t>
      </w:r>
      <w:proofErr w:type="spellStart"/>
      <w:r w:rsidR="00445C04" w:rsidRPr="00CF749F">
        <w:t>Klára</w:t>
      </w:r>
      <w:proofErr w:type="spellEnd"/>
      <w:r w:rsidR="00445C04" w:rsidRPr="00CF749F">
        <w:t> </w:t>
      </w:r>
      <w:proofErr w:type="spellStart"/>
      <w:r w:rsidR="00445C04" w:rsidRPr="00CF749F">
        <w:t>Dobrev</w:t>
      </w:r>
      <w:proofErr w:type="spellEnd"/>
      <w:r w:rsidR="00445C04" w:rsidRPr="00CF749F">
        <w:t xml:space="preserve"> est considérée comme une opposante au gouvernement hongrois, qu’elle critique </w:t>
      </w:r>
      <w:proofErr w:type="gramStart"/>
      <w:r w:rsidR="00445C04" w:rsidRPr="00CF749F">
        <w:t>ouvertement;</w:t>
      </w:r>
      <w:proofErr w:type="gramEnd"/>
      <w:r w:rsidR="00445C04" w:rsidRPr="00CF749F">
        <w:t xml:space="preserve"> considérant que la plaignante est la sœur de l’ancien président hongrois, membre du parti politique au pouvoir; que l’on peut en déduire que la plaignante est liée au cercle rapproché des autorités politiques hongroises; </w:t>
      </w:r>
    </w:p>
    <w:p w14:paraId="0C83F681" w14:textId="6F2F5CA7" w:rsidR="00445C04" w:rsidRPr="00CF749F" w:rsidRDefault="00A36CA9" w:rsidP="00445C04">
      <w:pPr>
        <w:pStyle w:val="NormalHanging12a"/>
      </w:pPr>
      <w:r>
        <w:t>M</w:t>
      </w:r>
      <w:r w:rsidR="00445C04" w:rsidRPr="00CF749F">
        <w:t>.</w:t>
      </w:r>
      <w:r w:rsidR="00445C04" w:rsidRPr="00CF749F">
        <w:tab/>
        <w:t xml:space="preserve">considérant qu’il apparaît qu’en droit hongrois, les actions en diffamation peuvent être menées sur la base </w:t>
      </w:r>
      <w:r w:rsidR="00E05D90">
        <w:t xml:space="preserve">tant </w:t>
      </w:r>
      <w:r w:rsidR="00445C04" w:rsidRPr="00CF749F">
        <w:t xml:space="preserve">du droit pénal </w:t>
      </w:r>
      <w:r w:rsidR="00E05D90">
        <w:t>que</w:t>
      </w:r>
      <w:r w:rsidR="008E5BCC">
        <w:t xml:space="preserve"> du</w:t>
      </w:r>
      <w:r w:rsidR="00445C04" w:rsidRPr="00CF749F">
        <w:t xml:space="preserve"> droit civil, avec des différences importantes </w:t>
      </w:r>
      <w:r w:rsidR="00E05D90">
        <w:t>quant aux</w:t>
      </w:r>
      <w:r w:rsidR="00445C04" w:rsidRPr="00CF749F">
        <w:t xml:space="preserve"> conséquences juridiques qui sont susceptibles d’en découler, y compris l’emprisonnement; qu’en l’espèce, le choix d’intenter une action pénale suscite des doutes quant à l’objectif de réparation d’une atteinte réelle à la réputation et qu’il est donc possible que l’objectif de l’action dépasse cet objectif légitime et vise à porter atteinte à la réputation de </w:t>
      </w:r>
      <w:proofErr w:type="spellStart"/>
      <w:r w:rsidR="00445C04" w:rsidRPr="00CF749F">
        <w:t>Klára</w:t>
      </w:r>
      <w:proofErr w:type="spellEnd"/>
      <w:r w:rsidR="00445C04" w:rsidRPr="00CF749F">
        <w:t> </w:t>
      </w:r>
      <w:proofErr w:type="spellStart"/>
      <w:r w:rsidR="00445C04" w:rsidRPr="00CF749F">
        <w:t>Dobrev</w:t>
      </w:r>
      <w:proofErr w:type="spellEnd"/>
      <w:r w:rsidR="00445C04" w:rsidRPr="00CF749F">
        <w:t xml:space="preserve"> en tant que députée au Parlement européen;</w:t>
      </w:r>
    </w:p>
    <w:p w14:paraId="3D947B78" w14:textId="73DF15D6" w:rsidR="00445C04" w:rsidRPr="00CF749F" w:rsidRDefault="00A36CA9" w:rsidP="00445C04">
      <w:pPr>
        <w:pStyle w:val="NormalHanging12a"/>
      </w:pPr>
      <w:r>
        <w:t>N</w:t>
      </w:r>
      <w:r w:rsidR="00445C04" w:rsidRPr="00CF749F">
        <w:t>.</w:t>
      </w:r>
      <w:r w:rsidR="00445C04" w:rsidRPr="00CF749F">
        <w:tab/>
        <w:t xml:space="preserve">considérant qu’à l’époque des faits à l’origine de la demande de levée de son immunité parlementaire, </w:t>
      </w:r>
      <w:proofErr w:type="spellStart"/>
      <w:r w:rsidR="00445C04" w:rsidRPr="00CF749F">
        <w:t>Klára</w:t>
      </w:r>
      <w:proofErr w:type="spellEnd"/>
      <w:r w:rsidR="00445C04" w:rsidRPr="00CF749F">
        <w:t> </w:t>
      </w:r>
      <w:proofErr w:type="spellStart"/>
      <w:r w:rsidR="00445C04" w:rsidRPr="00CF749F">
        <w:t>Dobrev</w:t>
      </w:r>
      <w:proofErr w:type="spellEnd"/>
      <w:r w:rsidR="00445C04" w:rsidRPr="00CF749F">
        <w:t xml:space="preserve"> était membre de la commission des libertés civiles, de la justice et des affaires intérieures du Parlement européen, qui traite régulièrement des questions de droit pénal, y compris la protection des enfants et des infractions </w:t>
      </w:r>
      <w:r w:rsidR="00D2443D">
        <w:t>connexes</w:t>
      </w:r>
      <w:r w:rsidR="00445C04" w:rsidRPr="00CF749F">
        <w:t xml:space="preserve">, telles que les affaires de pédophilie; que </w:t>
      </w:r>
      <w:proofErr w:type="spellStart"/>
      <w:r w:rsidR="00445C04" w:rsidRPr="00CF749F">
        <w:t>Klára</w:t>
      </w:r>
      <w:proofErr w:type="spellEnd"/>
      <w:r w:rsidR="00445C04" w:rsidRPr="00CF749F">
        <w:t> </w:t>
      </w:r>
      <w:proofErr w:type="spellStart"/>
      <w:r w:rsidR="00445C04" w:rsidRPr="00CF749F">
        <w:t>Dobrev</w:t>
      </w:r>
      <w:proofErr w:type="spellEnd"/>
      <w:r w:rsidR="00445C04" w:rsidRPr="00CF749F">
        <w:t xml:space="preserve"> prenait des positions politiques dans son activité </w:t>
      </w:r>
      <w:r w:rsidR="00D2443D">
        <w:t>en tant que</w:t>
      </w:r>
      <w:r w:rsidR="00445C04" w:rsidRPr="00CF749F">
        <w:t xml:space="preserve"> députée au Parlement européen et s’exprimait régulièrement contre les autorités politiques de son pays;</w:t>
      </w:r>
    </w:p>
    <w:p w14:paraId="045184D0" w14:textId="67A58ADE" w:rsidR="00445C04" w:rsidRPr="00CF749F" w:rsidRDefault="00A36CA9" w:rsidP="00445C04">
      <w:pPr>
        <w:pStyle w:val="NormalHanging12a"/>
      </w:pPr>
      <w:r>
        <w:t>O</w:t>
      </w:r>
      <w:r w:rsidR="00445C04" w:rsidRPr="00CF749F">
        <w:t>.</w:t>
      </w:r>
      <w:r w:rsidR="00445C04" w:rsidRPr="00CF749F">
        <w:tab/>
        <w:t xml:space="preserve">considérant qu’il apparaît dès lors </w:t>
      </w:r>
      <w:r w:rsidR="00D2443D">
        <w:t xml:space="preserve">qu’en l’espèce, </w:t>
      </w:r>
      <w:r w:rsidR="00445C04" w:rsidRPr="00CF749F">
        <w:t xml:space="preserve">on peut supposer l’existence d’un cas de </w:t>
      </w:r>
      <w:proofErr w:type="spellStart"/>
      <w:r w:rsidR="00445C04" w:rsidRPr="00D2443D">
        <w:rPr>
          <w:i/>
          <w:iCs/>
        </w:rPr>
        <w:t>fumus</w:t>
      </w:r>
      <w:proofErr w:type="spellEnd"/>
      <w:r w:rsidR="00445C04" w:rsidRPr="00D2443D">
        <w:rPr>
          <w:i/>
          <w:iCs/>
        </w:rPr>
        <w:t xml:space="preserve"> </w:t>
      </w:r>
      <w:proofErr w:type="spellStart"/>
      <w:r w:rsidR="00445C04" w:rsidRPr="00D2443D">
        <w:rPr>
          <w:i/>
          <w:iCs/>
        </w:rPr>
        <w:t>persecutionis</w:t>
      </w:r>
      <w:proofErr w:type="spellEnd"/>
      <w:r w:rsidR="00445C04" w:rsidRPr="00CF749F">
        <w:t xml:space="preserve">, c’est-à-dire </w:t>
      </w:r>
      <w:r w:rsidR="00D2443D">
        <w:t>qu’il existe des</w:t>
      </w:r>
      <w:proofErr w:type="gramStart"/>
      <w:r w:rsidR="00D2443D">
        <w:t xml:space="preserve"> </w:t>
      </w:r>
      <w:r w:rsidR="00445C04" w:rsidRPr="00CF749F">
        <w:t>«éléments</w:t>
      </w:r>
      <w:proofErr w:type="gramEnd"/>
      <w:r w:rsidR="00445C04" w:rsidRPr="00CF749F">
        <w:t xml:space="preserve"> concrets»</w:t>
      </w:r>
      <w:r w:rsidR="00445C04" w:rsidRPr="00CF749F">
        <w:rPr>
          <w:vertAlign w:val="superscript"/>
        </w:rPr>
        <w:footnoteReference w:id="3"/>
      </w:r>
      <w:r w:rsidR="00445C04" w:rsidRPr="00CF749F">
        <w:t xml:space="preserve"> indiquant que les poursuites judiciaires en question ont été engagées dans l’intention de nuire à l’activité politique de </w:t>
      </w:r>
      <w:proofErr w:type="spellStart"/>
      <w:r w:rsidR="008E5BCC" w:rsidRPr="00CF749F">
        <w:t>Klára</w:t>
      </w:r>
      <w:proofErr w:type="spellEnd"/>
      <w:r w:rsidR="008E5BCC" w:rsidRPr="00CF749F">
        <w:t> </w:t>
      </w:r>
      <w:proofErr w:type="spellStart"/>
      <w:r w:rsidR="008E5BCC" w:rsidRPr="00CF749F">
        <w:t>Dobrev</w:t>
      </w:r>
      <w:proofErr w:type="spellEnd"/>
      <w:r w:rsidR="00D2443D">
        <w:t xml:space="preserve"> </w:t>
      </w:r>
      <w:r w:rsidR="00445C04" w:rsidRPr="00CF749F">
        <w:t>visée par la demande de levée d’immunité;</w:t>
      </w:r>
    </w:p>
    <w:p w14:paraId="4660C759" w14:textId="72D2194E" w:rsidR="00445C04" w:rsidRPr="00CF749F" w:rsidRDefault="00A36CA9" w:rsidP="00445C04">
      <w:pPr>
        <w:pStyle w:val="NormalHanging12a"/>
      </w:pPr>
      <w:r>
        <w:t>P</w:t>
      </w:r>
      <w:r w:rsidR="00445C04" w:rsidRPr="00CF749F">
        <w:t>.</w:t>
      </w:r>
      <w:r w:rsidR="00445C04" w:rsidRPr="00CF749F">
        <w:tab/>
        <w:t>considérant, d’une part, que le Parlement ne saurait être assimilé à un tribunal et, d’autre part, que le député ne saurait, dans le contexte d’une procédure de levée d’immunité, être considéré comme un</w:t>
      </w:r>
      <w:proofErr w:type="gramStart"/>
      <w:r w:rsidR="00445C04" w:rsidRPr="00CF749F">
        <w:t xml:space="preserve"> «accusé</w:t>
      </w:r>
      <w:proofErr w:type="gramEnd"/>
      <w:r w:rsidR="00445C04" w:rsidRPr="00CF749F">
        <w:t>»</w:t>
      </w:r>
      <w:r w:rsidR="00445C04" w:rsidRPr="00CF749F">
        <w:rPr>
          <w:rStyle w:val="FootnoteReference"/>
          <w:color w:val="000000"/>
        </w:rPr>
        <w:footnoteReference w:id="4"/>
      </w:r>
      <w:r w:rsidR="00445C04" w:rsidRPr="00CF749F">
        <w:t>;</w:t>
      </w:r>
    </w:p>
    <w:p w14:paraId="09CC8C7C" w14:textId="77777777" w:rsidR="00445C04" w:rsidRPr="00CF749F" w:rsidRDefault="00445C04" w:rsidP="00445C04">
      <w:pPr>
        <w:pStyle w:val="NormalHanging12a"/>
      </w:pPr>
      <w:r w:rsidRPr="00CF749F">
        <w:t>1.</w:t>
      </w:r>
      <w:r w:rsidRPr="00CF749F">
        <w:tab/>
        <w:t xml:space="preserve">décide de ne pas lever l’immunité de </w:t>
      </w:r>
      <w:proofErr w:type="spellStart"/>
      <w:r w:rsidRPr="00CF749F">
        <w:t>Klára</w:t>
      </w:r>
      <w:proofErr w:type="spellEnd"/>
      <w:r w:rsidRPr="00CF749F">
        <w:t> </w:t>
      </w:r>
      <w:proofErr w:type="spellStart"/>
      <w:proofErr w:type="gramStart"/>
      <w:r w:rsidRPr="00CF749F">
        <w:t>Dobrev</w:t>
      </w:r>
      <w:proofErr w:type="spellEnd"/>
      <w:r w:rsidRPr="00CF749F">
        <w:t>;</w:t>
      </w:r>
      <w:proofErr w:type="gramEnd"/>
    </w:p>
    <w:p w14:paraId="16030FEF" w14:textId="34C8AD7F" w:rsidR="00E365E1" w:rsidRPr="00CF749F" w:rsidRDefault="00445C04" w:rsidP="00D2443D">
      <w:pPr>
        <w:ind w:left="567" w:hanging="567"/>
      </w:pPr>
      <w:r w:rsidRPr="00CF749F">
        <w:t>2.</w:t>
      </w:r>
      <w:r w:rsidRPr="00CF749F">
        <w:tab/>
        <w:t xml:space="preserve">charge sa Présidente de transmettre immédiatement la présente décision et le rapport de sa commission compétente à l’autorité compétente en Hongrie et à </w:t>
      </w:r>
      <w:proofErr w:type="spellStart"/>
      <w:r w:rsidRPr="00CF749F">
        <w:t>Klára</w:t>
      </w:r>
      <w:proofErr w:type="spellEnd"/>
      <w:r w:rsidRPr="00CF749F">
        <w:t> </w:t>
      </w:r>
      <w:proofErr w:type="spellStart"/>
      <w:r w:rsidRPr="00CF749F">
        <w:t>Dobrev</w:t>
      </w:r>
      <w:proofErr w:type="spellEnd"/>
      <w:r w:rsidRPr="00CF749F">
        <w:t>.</w:t>
      </w:r>
    </w:p>
    <w:sectPr w:rsidR="00E365E1" w:rsidRPr="00CF749F" w:rsidSect="00CF74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7864C" w14:textId="77777777" w:rsidR="00D95FD1" w:rsidRPr="00CF749F" w:rsidRDefault="00D95FD1">
      <w:r w:rsidRPr="00CF749F">
        <w:separator/>
      </w:r>
    </w:p>
  </w:endnote>
  <w:endnote w:type="continuationSeparator" w:id="0">
    <w:p w14:paraId="37334C52" w14:textId="77777777" w:rsidR="00D95FD1" w:rsidRPr="00CF749F" w:rsidRDefault="00D95FD1">
      <w:r w:rsidRPr="00CF74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EA7C3" w14:textId="77777777" w:rsidR="00064002" w:rsidRPr="00CF74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5604D" w14:textId="77777777" w:rsidR="00064002" w:rsidRPr="00CF74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7BEB" w14:textId="77777777" w:rsidR="00064002" w:rsidRPr="00CF74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E41C7" w14:textId="77777777" w:rsidR="00D95FD1" w:rsidRPr="00CF749F" w:rsidRDefault="00D95FD1">
      <w:r w:rsidRPr="00CF749F">
        <w:separator/>
      </w:r>
    </w:p>
  </w:footnote>
  <w:footnote w:type="continuationSeparator" w:id="0">
    <w:p w14:paraId="1509A819" w14:textId="77777777" w:rsidR="00D95FD1" w:rsidRPr="00CF749F" w:rsidRDefault="00D95FD1">
      <w:r w:rsidRPr="00CF749F">
        <w:continuationSeparator/>
      </w:r>
    </w:p>
  </w:footnote>
  <w:footnote w:id="1">
    <w:p w14:paraId="41AE4B2A" w14:textId="4B9DF360" w:rsidR="00445C04" w:rsidRPr="00CF749F" w:rsidRDefault="00445C04" w:rsidP="00CF749F">
      <w:pPr>
        <w:pStyle w:val="FootnoteText"/>
        <w:ind w:left="567" w:hanging="567"/>
        <w:rPr>
          <w:sz w:val="24"/>
        </w:rPr>
      </w:pPr>
      <w:r w:rsidRPr="00CF749F">
        <w:rPr>
          <w:rStyle w:val="FootnoteReference"/>
          <w:sz w:val="24"/>
        </w:rPr>
        <w:footnoteRef/>
      </w:r>
      <w:r w:rsidR="00CF749F" w:rsidRPr="00CF749F">
        <w:rPr>
          <w:sz w:val="24"/>
        </w:rPr>
        <w:t xml:space="preserve"> </w:t>
      </w:r>
      <w:r w:rsidR="00CF749F" w:rsidRPr="00CF749F">
        <w:rPr>
          <w:sz w:val="24"/>
        </w:rPr>
        <w:tab/>
      </w:r>
      <w:r w:rsidRPr="00CF749F">
        <w:rPr>
          <w:sz w:val="24"/>
        </w:rPr>
        <w:t xml:space="preserve">Arrêt de la Cour de justice du 21 octobre 2008, Marra/De Gregorio et </w:t>
      </w:r>
      <w:proofErr w:type="spellStart"/>
      <w:r w:rsidRPr="00CF749F">
        <w:rPr>
          <w:sz w:val="24"/>
        </w:rPr>
        <w:t>Clemente</w:t>
      </w:r>
      <w:proofErr w:type="spellEnd"/>
      <w:r w:rsidRPr="00CF749F">
        <w:rPr>
          <w:sz w:val="24"/>
        </w:rPr>
        <w:t xml:space="preserve">, C-200/07 et C-201/07, ECLI:EU:C:2008:579; arrêt du Tribunal du 19 mars 2010, </w:t>
      </w:r>
      <w:proofErr w:type="spellStart"/>
      <w:r w:rsidRPr="00CF749F">
        <w:rPr>
          <w:sz w:val="24"/>
        </w:rPr>
        <w:t>Gollnisch</w:t>
      </w:r>
      <w:proofErr w:type="spellEnd"/>
      <w:r w:rsidRPr="00CF749F">
        <w:rPr>
          <w:sz w:val="24"/>
        </w:rPr>
        <w:t xml:space="preserve">/Parlement, T-42/06, ECLI:EU:T:2010:102; arrêt de la Cour de justice du 6 septembre 2011, </w:t>
      </w:r>
      <w:proofErr w:type="spellStart"/>
      <w:r w:rsidRPr="00CF749F">
        <w:rPr>
          <w:sz w:val="24"/>
        </w:rPr>
        <w:t>Patriciello</w:t>
      </w:r>
      <w:proofErr w:type="spellEnd"/>
      <w:r w:rsidRPr="00CF749F">
        <w:rPr>
          <w:sz w:val="24"/>
        </w:rPr>
        <w:t xml:space="preserve">, C-163/10, ECLI: EU:C:2011:543; arrêt du Tribunal du 17 janvier 2013, </w:t>
      </w:r>
      <w:proofErr w:type="spellStart"/>
      <w:r w:rsidRPr="00CF749F">
        <w:rPr>
          <w:sz w:val="24"/>
        </w:rPr>
        <w:t>Gollnisch</w:t>
      </w:r>
      <w:proofErr w:type="spellEnd"/>
      <w:r w:rsidRPr="00CF749F">
        <w:rPr>
          <w:sz w:val="24"/>
        </w:rPr>
        <w:t xml:space="preserve">/Parlement, T-346/11 et T-347/11, ECLI:EU:T:2013:23; arrêt de la Cour de justice du 19 décembre 2019, </w:t>
      </w:r>
      <w:proofErr w:type="spellStart"/>
      <w:r w:rsidRPr="00CF749F">
        <w:rPr>
          <w:sz w:val="24"/>
        </w:rPr>
        <w:t>Junqueras</w:t>
      </w:r>
      <w:proofErr w:type="spellEnd"/>
      <w:r w:rsidRPr="00CF749F">
        <w:rPr>
          <w:sz w:val="24"/>
        </w:rPr>
        <w:t xml:space="preserve"> Vies, C-502/19, ECLI:EU:C:2019:1115; arrêt du Tribunal du 5 juillet 2023, </w:t>
      </w:r>
      <w:proofErr w:type="spellStart"/>
      <w:r w:rsidRPr="00CF749F">
        <w:rPr>
          <w:sz w:val="24"/>
        </w:rPr>
        <w:t>Puigdemont</w:t>
      </w:r>
      <w:proofErr w:type="spellEnd"/>
      <w:r w:rsidRPr="00CF749F">
        <w:rPr>
          <w:sz w:val="24"/>
        </w:rPr>
        <w:t xml:space="preserve"> i </w:t>
      </w:r>
      <w:proofErr w:type="spellStart"/>
      <w:r w:rsidRPr="00CF749F">
        <w:rPr>
          <w:sz w:val="24"/>
        </w:rPr>
        <w:t>Casamajó</w:t>
      </w:r>
      <w:proofErr w:type="spellEnd"/>
      <w:r w:rsidRPr="00CF749F">
        <w:rPr>
          <w:sz w:val="24"/>
        </w:rPr>
        <w:t xml:space="preserve"> e.a./Parlement, T-272/21, ECLI:EU:T:2023:373.</w:t>
      </w:r>
    </w:p>
  </w:footnote>
  <w:footnote w:id="2">
    <w:p w14:paraId="5686624C" w14:textId="61F1B463" w:rsidR="00445C04" w:rsidRPr="00CF749F" w:rsidRDefault="00445C04" w:rsidP="00CF749F">
      <w:pPr>
        <w:pStyle w:val="FootnoteText"/>
        <w:ind w:left="567" w:hanging="567"/>
        <w:rPr>
          <w:sz w:val="24"/>
        </w:rPr>
      </w:pPr>
      <w:r w:rsidRPr="00CF749F">
        <w:rPr>
          <w:rStyle w:val="FootnoteReference"/>
          <w:sz w:val="24"/>
        </w:rPr>
        <w:footnoteRef/>
      </w:r>
      <w:r w:rsidR="00CF749F" w:rsidRPr="00CF749F">
        <w:rPr>
          <w:sz w:val="24"/>
        </w:rPr>
        <w:t xml:space="preserve"> </w:t>
      </w:r>
      <w:r w:rsidR="00CF749F" w:rsidRPr="00CF749F">
        <w:rPr>
          <w:sz w:val="24"/>
        </w:rPr>
        <w:tab/>
      </w:r>
      <w:r w:rsidRPr="00CF749F">
        <w:rPr>
          <w:sz w:val="24"/>
        </w:rPr>
        <w:t xml:space="preserve">Arrêt </w:t>
      </w:r>
      <w:r w:rsidR="00E05D90">
        <w:rPr>
          <w:sz w:val="24"/>
        </w:rPr>
        <w:t>du Tribunal</w:t>
      </w:r>
      <w:r w:rsidR="008E5BCC">
        <w:rPr>
          <w:sz w:val="24"/>
        </w:rPr>
        <w:t xml:space="preserve"> </w:t>
      </w:r>
      <w:r w:rsidRPr="00CF749F">
        <w:rPr>
          <w:sz w:val="24"/>
        </w:rPr>
        <w:t xml:space="preserve">du 17 janvier 2013, </w:t>
      </w:r>
      <w:proofErr w:type="spellStart"/>
      <w:r w:rsidRPr="00CF749F">
        <w:rPr>
          <w:sz w:val="24"/>
        </w:rPr>
        <w:t>Gollnisch</w:t>
      </w:r>
      <w:proofErr w:type="spellEnd"/>
      <w:r w:rsidRPr="00CF749F">
        <w:rPr>
          <w:sz w:val="24"/>
        </w:rPr>
        <w:t xml:space="preserve">/Parlement, T-346/11 et T-347/11, </w:t>
      </w:r>
      <w:proofErr w:type="gramStart"/>
      <w:r w:rsidRPr="00CF749F">
        <w:rPr>
          <w:sz w:val="24"/>
        </w:rPr>
        <w:t>ECLI:</w:t>
      </w:r>
      <w:proofErr w:type="gramEnd"/>
      <w:r w:rsidRPr="00CF749F">
        <w:rPr>
          <w:sz w:val="24"/>
        </w:rPr>
        <w:t>EU:T:2013:23, p</w:t>
      </w:r>
      <w:r w:rsidR="00E05D90">
        <w:rPr>
          <w:sz w:val="24"/>
        </w:rPr>
        <w:t>oint</w:t>
      </w:r>
      <w:r w:rsidRPr="00CF749F">
        <w:rPr>
          <w:sz w:val="24"/>
        </w:rPr>
        <w:t> 59 et jurisprudence citée.</w:t>
      </w:r>
    </w:p>
  </w:footnote>
  <w:footnote w:id="3">
    <w:p w14:paraId="7C75E7DB" w14:textId="35267447" w:rsidR="00445C04" w:rsidRPr="00CF749F" w:rsidRDefault="00445C04" w:rsidP="00CF749F">
      <w:pPr>
        <w:pStyle w:val="FootnoteText"/>
        <w:ind w:left="567" w:hanging="567"/>
        <w:rPr>
          <w:sz w:val="24"/>
        </w:rPr>
      </w:pPr>
      <w:r w:rsidRPr="00CF749F">
        <w:rPr>
          <w:rStyle w:val="FootnoteReference"/>
          <w:sz w:val="24"/>
        </w:rPr>
        <w:footnoteRef/>
      </w:r>
      <w:r w:rsidR="00CF749F" w:rsidRPr="00CF749F">
        <w:rPr>
          <w:sz w:val="24"/>
        </w:rPr>
        <w:t xml:space="preserve"> </w:t>
      </w:r>
      <w:r w:rsidR="00CF749F" w:rsidRPr="00CF749F">
        <w:rPr>
          <w:sz w:val="24"/>
        </w:rPr>
        <w:tab/>
      </w:r>
      <w:r w:rsidRPr="00CF749F">
        <w:rPr>
          <w:sz w:val="24"/>
        </w:rPr>
        <w:t xml:space="preserve">Arrêt de la Cour de justice du 17 septembre 2020, </w:t>
      </w:r>
      <w:proofErr w:type="spellStart"/>
      <w:r w:rsidRPr="00CF749F">
        <w:rPr>
          <w:sz w:val="24"/>
        </w:rPr>
        <w:t>Troszczynski</w:t>
      </w:r>
      <w:proofErr w:type="spellEnd"/>
      <w:r w:rsidRPr="00CF749F">
        <w:rPr>
          <w:sz w:val="24"/>
        </w:rPr>
        <w:t>/Parlement, C-12/19</w:t>
      </w:r>
      <w:r w:rsidR="00E05D90">
        <w:rPr>
          <w:sz w:val="24"/>
        </w:rPr>
        <w:t xml:space="preserve"> P</w:t>
      </w:r>
      <w:r w:rsidRPr="00CF749F">
        <w:rPr>
          <w:sz w:val="24"/>
        </w:rPr>
        <w:t xml:space="preserve">, </w:t>
      </w:r>
      <w:proofErr w:type="gramStart"/>
      <w:r w:rsidRPr="00CF749F">
        <w:rPr>
          <w:sz w:val="24"/>
        </w:rPr>
        <w:t>ECLI:</w:t>
      </w:r>
      <w:proofErr w:type="gramEnd"/>
      <w:r w:rsidRPr="00CF749F">
        <w:rPr>
          <w:sz w:val="24"/>
        </w:rPr>
        <w:t>EU:C:2020:725, point 26.</w:t>
      </w:r>
    </w:p>
  </w:footnote>
  <w:footnote w:id="4">
    <w:p w14:paraId="524CAC20" w14:textId="4E4D4054" w:rsidR="00445C04" w:rsidRPr="00CF749F" w:rsidRDefault="00445C04" w:rsidP="00CF749F">
      <w:pPr>
        <w:pStyle w:val="FootnoteText"/>
        <w:ind w:left="567" w:hanging="567"/>
        <w:rPr>
          <w:sz w:val="24"/>
        </w:rPr>
      </w:pPr>
      <w:r w:rsidRPr="00CF749F">
        <w:rPr>
          <w:rStyle w:val="FootnoteReference"/>
          <w:sz w:val="24"/>
        </w:rPr>
        <w:footnoteRef/>
      </w:r>
      <w:r w:rsidR="00CF749F" w:rsidRPr="00CF749F">
        <w:rPr>
          <w:sz w:val="24"/>
        </w:rPr>
        <w:t xml:space="preserve"> </w:t>
      </w:r>
      <w:r w:rsidR="00CF749F" w:rsidRPr="00CF749F">
        <w:rPr>
          <w:sz w:val="24"/>
        </w:rPr>
        <w:tab/>
      </w:r>
      <w:r w:rsidRPr="00CF749F">
        <w:rPr>
          <w:sz w:val="24"/>
        </w:rPr>
        <w:t xml:space="preserve">Arrêt du Tribunal du 30 avril 2019, Briois/Parlement, T-214/18, </w:t>
      </w:r>
      <w:proofErr w:type="gramStart"/>
      <w:r w:rsidRPr="00CF749F">
        <w:rPr>
          <w:sz w:val="24"/>
        </w:rPr>
        <w:t>ECLI:</w:t>
      </w:r>
      <w:proofErr w:type="gramEnd"/>
      <w:r w:rsidRPr="00CF749F">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BFD0D" w14:textId="77777777" w:rsidR="00064002" w:rsidRPr="00CF74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A560" w14:textId="77777777" w:rsidR="00064002" w:rsidRPr="00CF74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5C570" w14:textId="77777777" w:rsidR="00064002" w:rsidRPr="00CF74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893126">
    <w:abstractNumId w:val="9"/>
  </w:num>
  <w:num w:numId="2" w16cid:durableId="1254818356">
    <w:abstractNumId w:val="9"/>
  </w:num>
  <w:num w:numId="3" w16cid:durableId="178466274">
    <w:abstractNumId w:val="7"/>
  </w:num>
  <w:num w:numId="4" w16cid:durableId="847519489">
    <w:abstractNumId w:val="7"/>
  </w:num>
  <w:num w:numId="5" w16cid:durableId="494296007">
    <w:abstractNumId w:val="6"/>
  </w:num>
  <w:num w:numId="6" w16cid:durableId="1790321475">
    <w:abstractNumId w:val="6"/>
  </w:num>
  <w:num w:numId="7" w16cid:durableId="1871602620">
    <w:abstractNumId w:val="5"/>
  </w:num>
  <w:num w:numId="8" w16cid:durableId="517668941">
    <w:abstractNumId w:val="5"/>
  </w:num>
  <w:num w:numId="9" w16cid:durableId="890967747">
    <w:abstractNumId w:val="4"/>
  </w:num>
  <w:num w:numId="10" w16cid:durableId="1079057039">
    <w:abstractNumId w:val="4"/>
  </w:num>
  <w:num w:numId="11" w16cid:durableId="981423686">
    <w:abstractNumId w:val="8"/>
  </w:num>
  <w:num w:numId="12" w16cid:durableId="105202011">
    <w:abstractNumId w:val="8"/>
  </w:num>
  <w:num w:numId="13" w16cid:durableId="1115438932">
    <w:abstractNumId w:val="3"/>
  </w:num>
  <w:num w:numId="14" w16cid:durableId="56977929">
    <w:abstractNumId w:val="3"/>
  </w:num>
  <w:num w:numId="15" w16cid:durableId="171840169">
    <w:abstractNumId w:val="2"/>
  </w:num>
  <w:num w:numId="16" w16cid:durableId="309284510">
    <w:abstractNumId w:val="2"/>
  </w:num>
  <w:num w:numId="17" w16cid:durableId="1999065584">
    <w:abstractNumId w:val="1"/>
  </w:num>
  <w:num w:numId="18" w16cid:durableId="1607233042">
    <w:abstractNumId w:val="1"/>
  </w:num>
  <w:num w:numId="19" w16cid:durableId="160895753">
    <w:abstractNumId w:val="0"/>
  </w:num>
  <w:num w:numId="20" w16cid:durableId="1581720837">
    <w:abstractNumId w:val="0"/>
  </w:num>
  <w:num w:numId="21" w16cid:durableId="1079059191">
    <w:abstractNumId w:val="9"/>
  </w:num>
  <w:num w:numId="22" w16cid:durableId="503324307">
    <w:abstractNumId w:val="7"/>
  </w:num>
  <w:num w:numId="23" w16cid:durableId="280383322">
    <w:abstractNumId w:val="6"/>
  </w:num>
  <w:num w:numId="24" w16cid:durableId="702438018">
    <w:abstractNumId w:val="5"/>
  </w:num>
  <w:num w:numId="25" w16cid:durableId="1743410660">
    <w:abstractNumId w:val="4"/>
  </w:num>
  <w:num w:numId="26" w16cid:durableId="1541748691">
    <w:abstractNumId w:val="8"/>
  </w:num>
  <w:num w:numId="27" w16cid:durableId="2111504483">
    <w:abstractNumId w:val="3"/>
  </w:num>
  <w:num w:numId="28" w16cid:durableId="1345860461">
    <w:abstractNumId w:val="2"/>
  </w:num>
  <w:num w:numId="29" w16cid:durableId="1332099226">
    <w:abstractNumId w:val="1"/>
  </w:num>
  <w:num w:numId="30" w16cid:durableId="1646737868">
    <w:abstractNumId w:val="0"/>
  </w:num>
  <w:num w:numId="31" w16cid:durableId="322205758">
    <w:abstractNumId w:val="9"/>
  </w:num>
  <w:num w:numId="32" w16cid:durableId="2103718190">
    <w:abstractNumId w:val="7"/>
  </w:num>
  <w:num w:numId="33" w16cid:durableId="275910155">
    <w:abstractNumId w:val="6"/>
  </w:num>
  <w:num w:numId="34" w16cid:durableId="1984696698">
    <w:abstractNumId w:val="5"/>
  </w:num>
  <w:num w:numId="35" w16cid:durableId="450246776">
    <w:abstractNumId w:val="4"/>
  </w:num>
  <w:num w:numId="36" w16cid:durableId="7105454">
    <w:abstractNumId w:val="8"/>
  </w:num>
  <w:num w:numId="37" w16cid:durableId="1247299893">
    <w:abstractNumId w:val="3"/>
  </w:num>
  <w:num w:numId="38" w16cid:durableId="345013471">
    <w:abstractNumId w:val="2"/>
  </w:num>
  <w:num w:numId="39" w16cid:durableId="988480408">
    <w:abstractNumId w:val="1"/>
  </w:num>
  <w:num w:numId="40" w16cid:durableId="1647272718">
    <w:abstractNumId w:val="0"/>
  </w:num>
  <w:num w:numId="41" w16cid:durableId="1519656548">
    <w:abstractNumId w:val="10"/>
  </w:num>
  <w:num w:numId="42" w16cid:durableId="268659031">
    <w:abstractNumId w:val="10"/>
  </w:num>
  <w:num w:numId="43" w16cid:durableId="1248033744">
    <w:abstractNumId w:val="10"/>
  </w:num>
  <w:num w:numId="44" w16cid:durableId="442960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FR"/>
    <w:docVar w:name="dvnumam" w:val="0"/>
    <w:docVar w:name="dvpe" w:val="766.949"/>
    <w:docVar w:name="dvrapporteur" w:val="Rapporteur: "/>
    <w:docVar w:name="dvtitre" w:val="Décision du Parlement européen du ... 2025 sur la demande de levée de l’immunité de Klára Dobrev(2024/2042(IMM))"/>
  </w:docVars>
  <w:rsids>
    <w:rsidRoot w:val="00D95FD1"/>
    <w:rsid w:val="00002272"/>
    <w:rsid w:val="00064002"/>
    <w:rsid w:val="000677B9"/>
    <w:rsid w:val="000831BA"/>
    <w:rsid w:val="0008536E"/>
    <w:rsid w:val="000A42CC"/>
    <w:rsid w:val="000E7DD9"/>
    <w:rsid w:val="0010095E"/>
    <w:rsid w:val="00125B37"/>
    <w:rsid w:val="00146C14"/>
    <w:rsid w:val="00187494"/>
    <w:rsid w:val="001F32AE"/>
    <w:rsid w:val="002767FF"/>
    <w:rsid w:val="002B18FE"/>
    <w:rsid w:val="002B5493"/>
    <w:rsid w:val="00343214"/>
    <w:rsid w:val="00361C00"/>
    <w:rsid w:val="003949D5"/>
    <w:rsid w:val="00395FA1"/>
    <w:rsid w:val="003E15D4"/>
    <w:rsid w:val="00411CCE"/>
    <w:rsid w:val="0041666E"/>
    <w:rsid w:val="00421060"/>
    <w:rsid w:val="00445C04"/>
    <w:rsid w:val="00457AA5"/>
    <w:rsid w:val="00471C19"/>
    <w:rsid w:val="00485572"/>
    <w:rsid w:val="004867E3"/>
    <w:rsid w:val="00494A28"/>
    <w:rsid w:val="004C0004"/>
    <w:rsid w:val="004C5D52"/>
    <w:rsid w:val="0050519A"/>
    <w:rsid w:val="005072A1"/>
    <w:rsid w:val="00514517"/>
    <w:rsid w:val="00545827"/>
    <w:rsid w:val="005576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FA8"/>
    <w:rsid w:val="00817416"/>
    <w:rsid w:val="00842779"/>
    <w:rsid w:val="00865F67"/>
    <w:rsid w:val="00881A7B"/>
    <w:rsid w:val="008840E5"/>
    <w:rsid w:val="00887B3E"/>
    <w:rsid w:val="008C2AC6"/>
    <w:rsid w:val="008E5BCC"/>
    <w:rsid w:val="00930C23"/>
    <w:rsid w:val="0093193B"/>
    <w:rsid w:val="009509D8"/>
    <w:rsid w:val="00950B64"/>
    <w:rsid w:val="00960794"/>
    <w:rsid w:val="00981893"/>
    <w:rsid w:val="00A1687D"/>
    <w:rsid w:val="00A36CA9"/>
    <w:rsid w:val="00A43E52"/>
    <w:rsid w:val="00A4678D"/>
    <w:rsid w:val="00A778C7"/>
    <w:rsid w:val="00AB441E"/>
    <w:rsid w:val="00AB6293"/>
    <w:rsid w:val="00AE0928"/>
    <w:rsid w:val="00AF3B82"/>
    <w:rsid w:val="00B12E95"/>
    <w:rsid w:val="00B22876"/>
    <w:rsid w:val="00B558F0"/>
    <w:rsid w:val="00B765DD"/>
    <w:rsid w:val="00BB4E54"/>
    <w:rsid w:val="00BD48FE"/>
    <w:rsid w:val="00BD7BD8"/>
    <w:rsid w:val="00BE6ADC"/>
    <w:rsid w:val="00C05BFE"/>
    <w:rsid w:val="00C23CD4"/>
    <w:rsid w:val="00C61C0C"/>
    <w:rsid w:val="00C941CB"/>
    <w:rsid w:val="00CB1CEC"/>
    <w:rsid w:val="00CC2357"/>
    <w:rsid w:val="00CF071A"/>
    <w:rsid w:val="00CF749F"/>
    <w:rsid w:val="00D058B8"/>
    <w:rsid w:val="00D2443D"/>
    <w:rsid w:val="00D56C11"/>
    <w:rsid w:val="00D834A0"/>
    <w:rsid w:val="00D872DF"/>
    <w:rsid w:val="00D91E21"/>
    <w:rsid w:val="00D95FD1"/>
    <w:rsid w:val="00DA21AD"/>
    <w:rsid w:val="00DA7FCD"/>
    <w:rsid w:val="00DD4647"/>
    <w:rsid w:val="00E05D90"/>
    <w:rsid w:val="00E23F26"/>
    <w:rsid w:val="00E365E1"/>
    <w:rsid w:val="00E820A4"/>
    <w:rsid w:val="00EB006A"/>
    <w:rsid w:val="00EB4772"/>
    <w:rsid w:val="00ED169E"/>
    <w:rsid w:val="00ED4235"/>
    <w:rsid w:val="00EF089F"/>
    <w:rsid w:val="00F04346"/>
    <w:rsid w:val="00F075DC"/>
    <w:rsid w:val="00F07CAF"/>
    <w:rsid w:val="00F149E9"/>
    <w:rsid w:val="00F463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6DCDA"/>
  <w15:chartTrackingRefBased/>
  <w15:docId w15:val="{BBF8FA4F-FBF0-4B2F-93A4-8445C19A2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5C04"/>
    <w:pPr>
      <w:spacing w:after="240"/>
      <w:ind w:left="567" w:hanging="567"/>
    </w:pPr>
  </w:style>
  <w:style w:type="paragraph" w:customStyle="1" w:styleId="EPComma">
    <w:name w:val="EPComma"/>
    <w:basedOn w:val="Normal"/>
    <w:rsid w:val="00445C04"/>
    <w:pPr>
      <w:spacing w:before="480" w:after="240"/>
    </w:pPr>
  </w:style>
  <w:style w:type="paragraph" w:styleId="Revision">
    <w:name w:val="Revision"/>
    <w:hidden/>
    <w:uiPriority w:val="99"/>
    <w:semiHidden/>
    <w:rsid w:val="00CB1CEC"/>
    <w:rPr>
      <w:sz w:val="24"/>
      <w:lang w:val="fr-FR"/>
    </w:rPr>
  </w:style>
  <w:style w:type="character" w:styleId="CommentReference">
    <w:name w:val="annotation reference"/>
    <w:basedOn w:val="DefaultParagraphFont"/>
    <w:rsid w:val="00EF089F"/>
    <w:rPr>
      <w:sz w:val="16"/>
      <w:szCs w:val="16"/>
    </w:rPr>
  </w:style>
  <w:style w:type="paragraph" w:styleId="CommentText">
    <w:name w:val="annotation text"/>
    <w:basedOn w:val="Normal"/>
    <w:link w:val="CommentTextChar"/>
    <w:rsid w:val="00EF089F"/>
    <w:rPr>
      <w:sz w:val="20"/>
    </w:rPr>
  </w:style>
  <w:style w:type="character" w:customStyle="1" w:styleId="CommentTextChar">
    <w:name w:val="Comment Text Char"/>
    <w:basedOn w:val="DefaultParagraphFont"/>
    <w:link w:val="CommentText"/>
    <w:rsid w:val="00EF089F"/>
    <w:rPr>
      <w:lang w:val="fr-FR"/>
    </w:rPr>
  </w:style>
  <w:style w:type="paragraph" w:styleId="CommentSubject">
    <w:name w:val="annotation subject"/>
    <w:basedOn w:val="CommentText"/>
    <w:next w:val="CommentText"/>
    <w:link w:val="CommentSubjectChar"/>
    <w:rsid w:val="00EF089F"/>
    <w:rPr>
      <w:b/>
      <w:bCs/>
    </w:rPr>
  </w:style>
  <w:style w:type="character" w:customStyle="1" w:styleId="CommentSubjectChar">
    <w:name w:val="Comment Subject Char"/>
    <w:basedOn w:val="CommentTextChar"/>
    <w:link w:val="CommentSubject"/>
    <w:rsid w:val="00EF089F"/>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1168</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HEBETTE Martine</cp:lastModifiedBy>
  <cp:revision>3</cp:revision>
  <cp:lastPrinted>2004-11-19T15:42:00Z</cp:lastPrinted>
  <dcterms:created xsi:type="dcterms:W3CDTF">2025-10-07T12:48:00Z</dcterms:created>
  <dcterms:modified xsi:type="dcterms:W3CDTF">2025-10-07T12:52:00Z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A10-0184/2025</vt:lpwstr>
  </property>
  <property fmtid="{D5CDD505-2E9C-101B-9397-08002B2CF9AE}" pid="4" name="&lt;Type&gt;">
    <vt:lpwstr>RR</vt:lpwstr>
  </property>
</Properties>
</file>