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B027D" w14:paraId="02D7EEF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97F08D7" w14:textId="77777777" w:rsidR="00751A4A" w:rsidRPr="00AB027D" w:rsidRDefault="003346E2" w:rsidP="0010095E">
            <w:pPr>
              <w:pStyle w:val="EPName"/>
            </w:pPr>
            <w:r w:rsidRPr="00AB027D">
              <w:t>Europaparlamentet</w:t>
            </w:r>
          </w:p>
          <w:p w14:paraId="0982EE42" w14:textId="77777777" w:rsidR="00751A4A" w:rsidRPr="00AB027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B027D">
              <w:t>2024</w:t>
            </w:r>
            <w:r w:rsidR="00817416" w:rsidRPr="00AB027D">
              <w:t>-202</w:t>
            </w:r>
            <w:r w:rsidRPr="00AB027D">
              <w:t>9</w:t>
            </w:r>
          </w:p>
        </w:tc>
        <w:tc>
          <w:tcPr>
            <w:tcW w:w="2268" w:type="dxa"/>
            <w:shd w:val="clear" w:color="auto" w:fill="auto"/>
          </w:tcPr>
          <w:p w14:paraId="7EFB1EC2" w14:textId="77777777" w:rsidR="00751A4A" w:rsidRPr="00AB027D" w:rsidRDefault="00187494" w:rsidP="0010095E">
            <w:pPr>
              <w:pStyle w:val="EPLogo"/>
            </w:pPr>
            <w:r w:rsidRPr="00AB027D">
              <w:rPr>
                <w:noProof/>
                <w:lang w:eastAsia="ja-JP"/>
              </w:rPr>
              <w:drawing>
                <wp:inline distT="0" distB="0" distL="0" distR="0" wp14:anchorId="47953C7B" wp14:editId="433E111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F64DC5" w14:textId="77777777" w:rsidR="00D058B8" w:rsidRPr="00AB027D" w:rsidRDefault="00D058B8" w:rsidP="004C5D52">
      <w:pPr>
        <w:pStyle w:val="LineTop"/>
      </w:pPr>
    </w:p>
    <w:p w14:paraId="74125D93" w14:textId="77777777" w:rsidR="00680577" w:rsidRPr="00AB027D" w:rsidRDefault="003346E2" w:rsidP="00680577">
      <w:pPr>
        <w:pStyle w:val="EPBodyTA1"/>
      </w:pPr>
      <w:r w:rsidRPr="00AB027D">
        <w:t>ANTAGNA TEXTER</w:t>
      </w:r>
    </w:p>
    <w:p w14:paraId="7F9CCD87" w14:textId="77777777" w:rsidR="00D058B8" w:rsidRPr="00AB027D" w:rsidRDefault="00D058B8" w:rsidP="00D058B8">
      <w:pPr>
        <w:pStyle w:val="LineBottom"/>
      </w:pPr>
    </w:p>
    <w:p w14:paraId="3D85C16F" w14:textId="12E8CD0C" w:rsidR="003346E2" w:rsidRPr="00AB027D" w:rsidRDefault="003346E2" w:rsidP="003346E2">
      <w:pPr>
        <w:pStyle w:val="ATHeading1"/>
      </w:pPr>
      <w:bookmarkStart w:id="0" w:name="TANumber"/>
      <w:r w:rsidRPr="00AB027D">
        <w:t>P10_TA(2025)0</w:t>
      </w:r>
      <w:r w:rsidR="00AB027D" w:rsidRPr="00AB027D">
        <w:t>207</w:t>
      </w:r>
      <w:bookmarkEnd w:id="0"/>
    </w:p>
    <w:p w14:paraId="4F5A8FDF" w14:textId="77777777" w:rsidR="003346E2" w:rsidRPr="00AB027D" w:rsidRDefault="003346E2" w:rsidP="003346E2">
      <w:pPr>
        <w:pStyle w:val="ATHeading2"/>
      </w:pPr>
      <w:bookmarkStart w:id="1" w:name="title"/>
      <w:r w:rsidRPr="00AB027D">
        <w:t xml:space="preserve">Begäran om upphävande av </w:t>
      </w:r>
      <w:proofErr w:type="spellStart"/>
      <w:r w:rsidRPr="00AB027D">
        <w:t>Klára</w:t>
      </w:r>
      <w:proofErr w:type="spellEnd"/>
      <w:r w:rsidRPr="00AB027D">
        <w:t xml:space="preserve"> </w:t>
      </w:r>
      <w:proofErr w:type="spellStart"/>
      <w:r w:rsidRPr="00AB027D">
        <w:t>Dobrevs</w:t>
      </w:r>
      <w:proofErr w:type="spellEnd"/>
      <w:r w:rsidRPr="00AB027D">
        <w:t xml:space="preserve"> immunitet</w:t>
      </w:r>
      <w:bookmarkEnd w:id="1"/>
    </w:p>
    <w:p w14:paraId="604E41F7" w14:textId="77777777" w:rsidR="003346E2" w:rsidRPr="00AB027D" w:rsidRDefault="003346E2" w:rsidP="003346E2">
      <w:pPr>
        <w:rPr>
          <w:i/>
          <w:vanish/>
        </w:rPr>
      </w:pPr>
      <w:r w:rsidRPr="00AB027D">
        <w:rPr>
          <w:i/>
        </w:rPr>
        <w:fldChar w:fldCharType="begin"/>
      </w:r>
      <w:r w:rsidRPr="00AB027D">
        <w:rPr>
          <w:i/>
        </w:rPr>
        <w:instrText xml:space="preserve"> TC"(</w:instrText>
      </w:r>
      <w:bookmarkStart w:id="2" w:name="DocNumber"/>
      <w:r w:rsidRPr="00AB027D">
        <w:rPr>
          <w:i/>
        </w:rPr>
        <w:instrText>A10-0184/2025</w:instrText>
      </w:r>
      <w:bookmarkEnd w:id="2"/>
      <w:r w:rsidRPr="00AB027D">
        <w:rPr>
          <w:i/>
        </w:rPr>
        <w:instrText xml:space="preserve"> - Föredragande: Ilhan Kyuchyuk)"\l3 \n&gt; \* MERGEFORMAT </w:instrText>
      </w:r>
      <w:r w:rsidRPr="00AB027D">
        <w:rPr>
          <w:i/>
        </w:rPr>
        <w:fldChar w:fldCharType="end"/>
      </w:r>
    </w:p>
    <w:p w14:paraId="35458669" w14:textId="77777777" w:rsidR="003346E2" w:rsidRPr="00AB027D" w:rsidRDefault="003346E2" w:rsidP="003346E2">
      <w:pPr>
        <w:rPr>
          <w:vanish/>
        </w:rPr>
      </w:pPr>
      <w:bookmarkStart w:id="3" w:name="Commission"/>
      <w:r w:rsidRPr="00AB027D">
        <w:rPr>
          <w:vanish/>
        </w:rPr>
        <w:t>Utskottet för rättsliga frågor</w:t>
      </w:r>
      <w:bookmarkEnd w:id="3"/>
    </w:p>
    <w:p w14:paraId="47423047" w14:textId="77777777" w:rsidR="003346E2" w:rsidRPr="00AB027D" w:rsidRDefault="003346E2" w:rsidP="003346E2">
      <w:pPr>
        <w:rPr>
          <w:vanish/>
        </w:rPr>
      </w:pPr>
      <w:bookmarkStart w:id="4" w:name="PE"/>
      <w:r w:rsidRPr="00AB027D">
        <w:rPr>
          <w:vanish/>
        </w:rPr>
        <w:t>PE766.949</w:t>
      </w:r>
      <w:bookmarkEnd w:id="4"/>
    </w:p>
    <w:p w14:paraId="0FBA307E" w14:textId="555D6D89" w:rsidR="003346E2" w:rsidRPr="00AB027D" w:rsidRDefault="003346E2" w:rsidP="00526927">
      <w:pPr>
        <w:pStyle w:val="ATHeading3"/>
      </w:pPr>
      <w:bookmarkStart w:id="5" w:name="Sujet"/>
      <w:r w:rsidRPr="00AB027D">
        <w:t xml:space="preserve">Europaparlamentets beslut av den </w:t>
      </w:r>
      <w:r w:rsidR="00526927" w:rsidRPr="00AB027D">
        <w:t>7 oktober</w:t>
      </w:r>
      <w:r w:rsidRPr="00AB027D">
        <w:t xml:space="preserve"> 2025 om begäran om upphävande av </w:t>
      </w:r>
      <w:proofErr w:type="spellStart"/>
      <w:r w:rsidRPr="00AB027D">
        <w:t>Klára</w:t>
      </w:r>
      <w:proofErr w:type="spellEnd"/>
      <w:r w:rsidRPr="00AB027D">
        <w:t xml:space="preserve"> </w:t>
      </w:r>
      <w:proofErr w:type="spellStart"/>
      <w:r w:rsidRPr="00AB027D">
        <w:t>Dobrevs</w:t>
      </w:r>
      <w:proofErr w:type="spellEnd"/>
      <w:r w:rsidRPr="00AB027D">
        <w:t xml:space="preserve"> immunitet</w:t>
      </w:r>
      <w:bookmarkEnd w:id="5"/>
      <w:r w:rsidRPr="00AB027D">
        <w:t xml:space="preserve"> </w:t>
      </w:r>
      <w:bookmarkStart w:id="6" w:name="References"/>
      <w:r w:rsidRPr="00AB027D">
        <w:t>(2024/2042(IMM))</w:t>
      </w:r>
      <w:bookmarkEnd w:id="6"/>
    </w:p>
    <w:p w14:paraId="3236103F" w14:textId="77777777" w:rsidR="00B160A3" w:rsidRPr="00AB027D" w:rsidRDefault="00B160A3" w:rsidP="00B160A3">
      <w:pPr>
        <w:pStyle w:val="EPComma"/>
      </w:pPr>
      <w:bookmarkStart w:id="7" w:name="TextBodyBegin"/>
      <w:bookmarkEnd w:id="7"/>
      <w:r w:rsidRPr="00AB027D">
        <w:rPr>
          <w:i/>
          <w:iCs/>
        </w:rPr>
        <w:t>Europaparlamentet fattar detta beslut</w:t>
      </w:r>
    </w:p>
    <w:p w14:paraId="5F1A06DE" w14:textId="75F6208C" w:rsidR="00B160A3" w:rsidRPr="00AB027D" w:rsidRDefault="00B160A3" w:rsidP="00B160A3">
      <w:pPr>
        <w:pStyle w:val="NormalHanging12a"/>
      </w:pPr>
      <w:r w:rsidRPr="00AB027D">
        <w:t>–</w:t>
      </w:r>
      <w:r w:rsidRPr="00AB027D">
        <w:tab/>
        <w:t xml:space="preserve">med beaktande av den begäran om upphävande av </w:t>
      </w:r>
      <w:proofErr w:type="spellStart"/>
      <w:r w:rsidRPr="00AB027D">
        <w:t>Klára</w:t>
      </w:r>
      <w:proofErr w:type="spellEnd"/>
      <w:r w:rsidRPr="00AB027D">
        <w:t xml:space="preserve"> </w:t>
      </w:r>
      <w:proofErr w:type="spellStart"/>
      <w:r w:rsidRPr="00AB027D">
        <w:t>Dobrevs</w:t>
      </w:r>
      <w:proofErr w:type="spellEnd"/>
      <w:r w:rsidRPr="00AB027D">
        <w:t xml:space="preserve"> immunitet som översändes den 29 augusti 2024 av domstolen för </w:t>
      </w:r>
      <w:r w:rsidR="00614B2A" w:rsidRPr="00AB027D">
        <w:t xml:space="preserve">Budapests </w:t>
      </w:r>
      <w:r w:rsidRPr="00AB027D">
        <w:t>distrikt II och III</w:t>
      </w:r>
      <w:r w:rsidR="00614B2A" w:rsidRPr="00AB027D">
        <w:t xml:space="preserve"> </w:t>
      </w:r>
      <w:r w:rsidRPr="00AB027D">
        <w:t xml:space="preserve">med anledning av ett brottmålsförfarande som inletts mot henne </w:t>
      </w:r>
      <w:r w:rsidR="00C416C1">
        <w:t>till följd av ett</w:t>
      </w:r>
      <w:r w:rsidR="00C416C1" w:rsidRPr="00AB027D">
        <w:t xml:space="preserve"> </w:t>
      </w:r>
      <w:r w:rsidRPr="00AB027D">
        <w:t>enskilt åtal, och som tillkännagavs i kammaren den 16 september 2024,</w:t>
      </w:r>
    </w:p>
    <w:p w14:paraId="04866584" w14:textId="77777777" w:rsidR="00B160A3" w:rsidRPr="00AB027D" w:rsidRDefault="00B160A3" w:rsidP="00B160A3">
      <w:pPr>
        <w:pStyle w:val="NormalHanging12a"/>
      </w:pPr>
      <w:r w:rsidRPr="00AB027D">
        <w:t>–</w:t>
      </w:r>
      <w:r w:rsidRPr="00AB027D">
        <w:tab/>
        <w:t xml:space="preserve">efter att ha hört </w:t>
      </w:r>
      <w:proofErr w:type="spellStart"/>
      <w:r w:rsidRPr="00AB027D">
        <w:t>Klára</w:t>
      </w:r>
      <w:proofErr w:type="spellEnd"/>
      <w:r w:rsidRPr="00AB027D">
        <w:t xml:space="preserve"> </w:t>
      </w:r>
      <w:proofErr w:type="spellStart"/>
      <w:r w:rsidRPr="00AB027D">
        <w:t>Dobrev</w:t>
      </w:r>
      <w:proofErr w:type="spellEnd"/>
      <w:r w:rsidRPr="00AB027D">
        <w:t xml:space="preserve"> den 29 januari 2025 i enlighet med artikel 9.6 i arbetsordningen,</w:t>
      </w:r>
    </w:p>
    <w:p w14:paraId="32F13DE3" w14:textId="77777777" w:rsidR="00B160A3" w:rsidRPr="00AB027D" w:rsidRDefault="00B160A3" w:rsidP="00B160A3">
      <w:pPr>
        <w:pStyle w:val="NormalHanging12a"/>
      </w:pPr>
      <w:r w:rsidRPr="00AB027D">
        <w:t>–</w:t>
      </w:r>
      <w:r w:rsidRPr="00AB027D">
        <w:tab/>
        <w:t>med beaktande av artiklarna 8 och 9 i protokoll nr 7 om Europeiska unionens immunitet och privilegier och artikel 6.2 i akten av den 20 september 1976 om allmänna direkta val av ledamöter av Europaparlamentet,</w:t>
      </w:r>
    </w:p>
    <w:p w14:paraId="6BE00B7F" w14:textId="77777777" w:rsidR="00B160A3" w:rsidRPr="00AB027D" w:rsidRDefault="00B160A3" w:rsidP="00B160A3">
      <w:pPr>
        <w:pStyle w:val="NormalHanging12a"/>
      </w:pPr>
      <w:r w:rsidRPr="00AB027D">
        <w:t>–</w:t>
      </w:r>
      <w:r w:rsidRPr="00AB027D">
        <w:tab/>
        <w:t xml:space="preserve">med beaktande av artikel 4.2 i Ungerns grundlag, </w:t>
      </w:r>
    </w:p>
    <w:p w14:paraId="0D2605C5" w14:textId="77777777" w:rsidR="00B160A3" w:rsidRPr="00AB027D" w:rsidRDefault="00B160A3" w:rsidP="00B160A3">
      <w:pPr>
        <w:pStyle w:val="NormalHanging12a"/>
      </w:pPr>
      <w:r w:rsidRPr="00AB027D">
        <w:t>–</w:t>
      </w:r>
      <w:r w:rsidRPr="00AB027D">
        <w:tab/>
        <w:t>med beaktande av Europeiska unionens domstols domar av den 21 oktober 2008, 19 mars 2010, 6 september 2011, 17 januari 2013, 19 december 2019 och 5 juli 2023</w:t>
      </w:r>
      <w:r w:rsidRPr="00AB027D">
        <w:rPr>
          <w:rStyle w:val="FootnoteReference"/>
          <w:color w:val="000000"/>
        </w:rPr>
        <w:footnoteReference w:id="1"/>
      </w:r>
      <w:r w:rsidRPr="00AB027D">
        <w:t>,</w:t>
      </w:r>
    </w:p>
    <w:p w14:paraId="06B80926" w14:textId="77777777" w:rsidR="00B160A3" w:rsidRPr="00AB027D" w:rsidRDefault="00B160A3" w:rsidP="00B160A3">
      <w:pPr>
        <w:pStyle w:val="NormalHanging12a"/>
      </w:pPr>
      <w:r w:rsidRPr="00AB027D">
        <w:t>–</w:t>
      </w:r>
      <w:r w:rsidRPr="00AB027D">
        <w:tab/>
        <w:t>med beaktande av artiklarna 5.2, 6.1 och 9 i arbetsordningen,</w:t>
      </w:r>
    </w:p>
    <w:p w14:paraId="5D439B38" w14:textId="77777777" w:rsidR="00B160A3" w:rsidRPr="00AB027D" w:rsidRDefault="00B160A3" w:rsidP="00B160A3">
      <w:pPr>
        <w:pStyle w:val="NormalHanging12a"/>
      </w:pPr>
      <w:r w:rsidRPr="00AB027D">
        <w:t>–</w:t>
      </w:r>
      <w:r w:rsidRPr="00AB027D">
        <w:tab/>
        <w:t xml:space="preserve">med beaktande av betänkandet från utskottet för rättsliga frågor (A10-0184/2025), och </w:t>
      </w:r>
      <w:r w:rsidRPr="00AB027D">
        <w:lastRenderedPageBreak/>
        <w:t>av följande skäl:</w:t>
      </w:r>
    </w:p>
    <w:p w14:paraId="05A697D4" w14:textId="2FB4E393" w:rsidR="00B160A3" w:rsidRPr="00AB027D" w:rsidRDefault="00B160A3" w:rsidP="00B160A3">
      <w:pPr>
        <w:pStyle w:val="NormalHanging12a"/>
      </w:pPr>
      <w:r w:rsidRPr="00AB027D">
        <w:t>A.</w:t>
      </w:r>
      <w:r w:rsidRPr="00AB027D">
        <w:tab/>
        <w:t>Den 29 augusti 2024 lämnade domstolen för</w:t>
      </w:r>
      <w:r w:rsidR="00614B2A" w:rsidRPr="00AB027D">
        <w:t xml:space="preserve"> Budapests</w:t>
      </w:r>
      <w:r w:rsidRPr="00AB027D">
        <w:t xml:space="preserve"> distrikt II och III</w:t>
      </w:r>
      <w:r w:rsidR="00614B2A" w:rsidRPr="00AB027D">
        <w:t xml:space="preserve"> </w:t>
      </w:r>
      <w:r w:rsidRPr="00AB027D">
        <w:t xml:space="preserve">in en begäran om upphävande av den parlamentariska immuniteten för </w:t>
      </w:r>
      <w:proofErr w:type="spellStart"/>
      <w:r w:rsidRPr="00AB027D">
        <w:t>Klára</w:t>
      </w:r>
      <w:proofErr w:type="spellEnd"/>
      <w:r w:rsidRPr="00AB027D">
        <w:t xml:space="preserve"> </w:t>
      </w:r>
      <w:proofErr w:type="spellStart"/>
      <w:r w:rsidRPr="00AB027D">
        <w:t>Dobrev</w:t>
      </w:r>
      <w:proofErr w:type="spellEnd"/>
      <w:r w:rsidRPr="00AB027D">
        <w:t xml:space="preserve">, ledamot av Europaparlamentet </w:t>
      </w:r>
      <w:r w:rsidR="00614B2A" w:rsidRPr="00AB027D">
        <w:t>vald</w:t>
      </w:r>
      <w:r w:rsidRPr="00AB027D">
        <w:t xml:space="preserve"> i Ungern, i samband med </w:t>
      </w:r>
      <w:r w:rsidR="00614B2A" w:rsidRPr="00AB027D">
        <w:t>ett</w:t>
      </w:r>
      <w:r w:rsidRPr="00AB027D">
        <w:t xml:space="preserve"> brottmålsförfarande för förtal som inletts mot henne </w:t>
      </w:r>
      <w:r w:rsidR="00614B2A" w:rsidRPr="00AB027D">
        <w:t>till följd av ett enskilt åtal som väckts av målsäganden i målet</w:t>
      </w:r>
      <w:r w:rsidRPr="00AB027D">
        <w:t>.</w:t>
      </w:r>
    </w:p>
    <w:p w14:paraId="631B4361" w14:textId="006C23B8" w:rsidR="00B160A3" w:rsidRPr="00AB027D" w:rsidRDefault="00B160A3" w:rsidP="00B160A3">
      <w:pPr>
        <w:pStyle w:val="NormalHanging12a"/>
      </w:pPr>
      <w:r w:rsidRPr="00AB027D">
        <w:t>B.</w:t>
      </w:r>
      <w:r w:rsidRPr="00AB027D">
        <w:tab/>
        <w:t xml:space="preserve">Den 22 februari 2024 publicerade </w:t>
      </w:r>
      <w:proofErr w:type="spellStart"/>
      <w:r w:rsidRPr="00AB027D">
        <w:t>Klára</w:t>
      </w:r>
      <w:proofErr w:type="spellEnd"/>
      <w:r w:rsidRPr="00AB027D">
        <w:t xml:space="preserve"> </w:t>
      </w:r>
      <w:proofErr w:type="spellStart"/>
      <w:r w:rsidRPr="00AB027D">
        <w:t>Dobrev</w:t>
      </w:r>
      <w:proofErr w:type="spellEnd"/>
      <w:r w:rsidRPr="00AB027D">
        <w:t xml:space="preserve"> ett foto på sociala medier som visade Ungerns premiärminister och målsäganden, med en text där det påstods att </w:t>
      </w:r>
      <w:r w:rsidR="00614B2A" w:rsidRPr="00AB027D">
        <w:t>målsäganden</w:t>
      </w:r>
      <w:r w:rsidR="00526927" w:rsidRPr="00AB027D">
        <w:t xml:space="preserve"> </w:t>
      </w:r>
      <w:r w:rsidRPr="00AB027D">
        <w:t>”också var skyldig i en pedofilskandal” som rullades upp i Ungern vid den tidpunkten.</w:t>
      </w:r>
    </w:p>
    <w:p w14:paraId="27F4D641" w14:textId="08B23D0A" w:rsidR="00B160A3" w:rsidRPr="00AB027D" w:rsidRDefault="00B160A3" w:rsidP="00B160A3">
      <w:pPr>
        <w:pStyle w:val="NormalHanging12a"/>
      </w:pPr>
      <w:r w:rsidRPr="00AB027D">
        <w:t>C.</w:t>
      </w:r>
      <w:r w:rsidRPr="00AB027D">
        <w:tab/>
        <w:t xml:space="preserve">Genom att </w:t>
      </w:r>
      <w:r w:rsidR="00614B2A" w:rsidRPr="00AB027D">
        <w:t>publicera</w:t>
      </w:r>
      <w:r w:rsidRPr="00AB027D">
        <w:t xml:space="preserve"> fotot påstås </w:t>
      </w:r>
      <w:proofErr w:type="spellStart"/>
      <w:r w:rsidRPr="00AB027D">
        <w:t>Klára</w:t>
      </w:r>
      <w:proofErr w:type="spellEnd"/>
      <w:r w:rsidRPr="00AB027D">
        <w:t xml:space="preserve"> </w:t>
      </w:r>
      <w:proofErr w:type="spellStart"/>
      <w:r w:rsidRPr="00AB027D">
        <w:t>Dobrev</w:t>
      </w:r>
      <w:proofErr w:type="spellEnd"/>
      <w:r w:rsidRPr="00AB027D">
        <w:t xml:space="preserve"> ha begått brottet offentligt förtal </w:t>
      </w:r>
      <w:r w:rsidR="0081020D" w:rsidRPr="00AB027D">
        <w:t>enligt</w:t>
      </w:r>
      <w:r w:rsidRPr="00AB027D">
        <w:t xml:space="preserve"> artikel 226.1 och artikel 226.2 b i </w:t>
      </w:r>
      <w:r w:rsidR="00614B2A" w:rsidRPr="00AB027D">
        <w:t xml:space="preserve">2012 års </w:t>
      </w:r>
      <w:r w:rsidRPr="00AB027D">
        <w:t xml:space="preserve">lag C om </w:t>
      </w:r>
      <w:r w:rsidR="0081020D" w:rsidRPr="00AB027D">
        <w:t>Ungerns strafflag</w:t>
      </w:r>
      <w:r w:rsidRPr="00AB027D">
        <w:t xml:space="preserve">. Enligt artikel 231.2 i Ungerns strafflag är det brottet straffbart enbart </w:t>
      </w:r>
      <w:r w:rsidR="0081020D" w:rsidRPr="00AB027D">
        <w:t>under</w:t>
      </w:r>
      <w:r w:rsidRPr="00AB027D">
        <w:t xml:space="preserve"> enskilt åtal.</w:t>
      </w:r>
    </w:p>
    <w:p w14:paraId="72FC2200" w14:textId="4B3C8C6A" w:rsidR="00526927" w:rsidRPr="00AB027D" w:rsidRDefault="00B160A3" w:rsidP="00B160A3">
      <w:pPr>
        <w:pStyle w:val="NormalHanging12a"/>
        <w:widowControl/>
      </w:pPr>
      <w:r w:rsidRPr="00AB027D">
        <w:t>D.</w:t>
      </w:r>
      <w:r w:rsidRPr="00AB027D">
        <w:tab/>
      </w:r>
      <w:proofErr w:type="spellStart"/>
      <w:r w:rsidR="00526927" w:rsidRPr="00AB027D">
        <w:t>Klára</w:t>
      </w:r>
      <w:proofErr w:type="spellEnd"/>
      <w:r w:rsidR="00526927" w:rsidRPr="00AB027D">
        <w:t xml:space="preserve"> </w:t>
      </w:r>
      <w:proofErr w:type="spellStart"/>
      <w:r w:rsidR="00526927" w:rsidRPr="00AB027D">
        <w:t>Dobrev</w:t>
      </w:r>
      <w:proofErr w:type="spellEnd"/>
      <w:r w:rsidR="00526927" w:rsidRPr="00AB027D">
        <w:t xml:space="preserve"> valdes in i Europaparlamentet i valet 2019 och var ledamot av Europaparlamentet vid tidpunkten för det påstådda brottet.</w:t>
      </w:r>
    </w:p>
    <w:p w14:paraId="76CC324F" w14:textId="7B449321" w:rsidR="00B160A3" w:rsidRPr="00AB027D" w:rsidRDefault="00526927" w:rsidP="00526927">
      <w:pPr>
        <w:pStyle w:val="NormalHanging12a"/>
        <w:widowControl/>
      </w:pPr>
      <w:r w:rsidRPr="00AB027D">
        <w:t>E.</w:t>
      </w:r>
      <w:r w:rsidRPr="00AB027D">
        <w:tab/>
      </w:r>
      <w:r w:rsidR="00B160A3" w:rsidRPr="00AB027D">
        <w:t xml:space="preserve">Syftet med immuniteten </w:t>
      </w:r>
      <w:r w:rsidRPr="00AB027D">
        <w:t xml:space="preserve">som föreskrivs i protokoll nr 7 om Europeiska unionens immunitet och privilegier </w:t>
      </w:r>
      <w:r w:rsidR="00B160A3" w:rsidRPr="00AB027D">
        <w:t>är att skydda parlamentet och dess ledamöter från rättsliga förfaranden som rör verksamhet som bedrivs inom ramen för utövandet av det parlamentariska ämbetet och som inte kan skiljas från detta.</w:t>
      </w:r>
    </w:p>
    <w:p w14:paraId="12B2F178" w14:textId="10CD5E97" w:rsidR="00B160A3" w:rsidRPr="00AB027D" w:rsidRDefault="00526927" w:rsidP="00B160A3">
      <w:pPr>
        <w:pStyle w:val="NormalHanging12a"/>
      </w:pPr>
      <w:r w:rsidRPr="00AB027D">
        <w:t>F</w:t>
      </w:r>
      <w:r w:rsidR="00B160A3" w:rsidRPr="00AB027D">
        <w:t>.</w:t>
      </w:r>
      <w:r w:rsidR="00B160A3" w:rsidRPr="00AB027D">
        <w:tab/>
        <w:t>Enligt artikel 5.2 i arbetsordningen ska parlamentet vid utövandet av sina befogenheter i frågor som rör immunitet och privilegier verka för att upprätthålla parlamentets integritet som en demokratisk lagstiftande församling och säkerställa ledamöternas oberoende när dessa utför sitt uppdrag.</w:t>
      </w:r>
    </w:p>
    <w:p w14:paraId="1EBD77A4" w14:textId="77777777" w:rsidR="00B160A3" w:rsidRPr="00AB027D" w:rsidRDefault="00B160A3" w:rsidP="00B160A3">
      <w:pPr>
        <w:pStyle w:val="NormalHanging12a"/>
      </w:pPr>
      <w:r w:rsidRPr="00AB027D">
        <w:t>G.</w:t>
      </w:r>
      <w:r w:rsidRPr="00AB027D">
        <w:tab/>
        <w:t>Enligt artikel 8 i protokoll nr 7 om Europeiska unionens immunitet och privilegier får Europaparlamentets ledamöter inte förhöras, kvarhållas eller lagföras på grund av yttranden de gjort eller röster de avlagt under utövandet av sitt ämbete.</w:t>
      </w:r>
    </w:p>
    <w:p w14:paraId="65A3983B" w14:textId="77777777" w:rsidR="00B160A3" w:rsidRPr="00AB027D" w:rsidRDefault="00B160A3" w:rsidP="00B160A3">
      <w:pPr>
        <w:pStyle w:val="NormalHanging12a"/>
      </w:pPr>
      <w:r w:rsidRPr="00AB027D">
        <w:t>H.</w:t>
      </w:r>
      <w:r w:rsidRPr="00AB027D">
        <w:tab/>
        <w:t xml:space="preserve">Det påstådda brottet och den efterföljande begäran om upphävande av </w:t>
      </w:r>
      <w:proofErr w:type="spellStart"/>
      <w:r w:rsidRPr="00AB027D">
        <w:t>Klára</w:t>
      </w:r>
      <w:proofErr w:type="spellEnd"/>
      <w:r w:rsidRPr="00AB027D">
        <w:t xml:space="preserve"> </w:t>
      </w:r>
      <w:proofErr w:type="spellStart"/>
      <w:r w:rsidRPr="00AB027D">
        <w:t>Dobrevs</w:t>
      </w:r>
      <w:proofErr w:type="spellEnd"/>
      <w:r w:rsidRPr="00AB027D">
        <w:t xml:space="preserve"> immunitet har inget samband med yttranden som </w:t>
      </w:r>
      <w:proofErr w:type="spellStart"/>
      <w:r w:rsidRPr="00AB027D">
        <w:t>Klára</w:t>
      </w:r>
      <w:proofErr w:type="spellEnd"/>
      <w:r w:rsidRPr="00AB027D">
        <w:t xml:space="preserve"> </w:t>
      </w:r>
      <w:proofErr w:type="spellStart"/>
      <w:r w:rsidRPr="00AB027D">
        <w:t>Dobrev</w:t>
      </w:r>
      <w:proofErr w:type="spellEnd"/>
      <w:r w:rsidRPr="00AB027D">
        <w:t xml:space="preserve"> gjort eller röster som hon avlagt under utövandet av sitt ämbete i den mening som avses i artikel 8 i protokoll nr 7 om Europeiska unionens immunitet och privilegier.</w:t>
      </w:r>
    </w:p>
    <w:p w14:paraId="5013FE7A" w14:textId="77777777" w:rsidR="00B160A3" w:rsidRPr="00AB027D" w:rsidRDefault="00B160A3" w:rsidP="00B160A3">
      <w:pPr>
        <w:pStyle w:val="NormalHanging12a"/>
      </w:pPr>
      <w:r w:rsidRPr="00AB027D">
        <w:t>I.</w:t>
      </w:r>
      <w:r w:rsidRPr="00AB027D">
        <w:tab/>
        <w:t>I artikel 9 första stycket a i protokoll nr 7 om Europeiska unionens immunitet och privilegier anges att Europaparlamentets ledamöter, vad avser deras egen stats territorium, ska åtnjuta den immunitet som beviljas parlamentsledamöter i deras land.</w:t>
      </w:r>
    </w:p>
    <w:p w14:paraId="2A166F81" w14:textId="3EF210F6" w:rsidR="00B160A3" w:rsidRPr="00AB027D" w:rsidRDefault="00B160A3" w:rsidP="00526927">
      <w:pPr>
        <w:pStyle w:val="NormalHanging12a"/>
      </w:pPr>
      <w:r w:rsidRPr="00AB027D">
        <w:t>J.</w:t>
      </w:r>
      <w:r w:rsidRPr="00AB027D">
        <w:tab/>
        <w:t>Enligt artikel 4.2 i Ungerns grundlag ska ledamöter av de</w:t>
      </w:r>
      <w:r w:rsidR="0024480C">
        <w:t>t</w:t>
      </w:r>
      <w:r w:rsidRPr="00AB027D">
        <w:t xml:space="preserve"> ungerska </w:t>
      </w:r>
      <w:r w:rsidR="0024480C">
        <w:t>parlamentet</w:t>
      </w:r>
      <w:r w:rsidR="0024480C" w:rsidRPr="00AB027D">
        <w:t xml:space="preserve"> </w:t>
      </w:r>
      <w:r w:rsidRPr="00AB027D">
        <w:t xml:space="preserve">åtnjuta parlamentarisk immunitet. Enligt avsnitt 74.1 i </w:t>
      </w:r>
      <w:r w:rsidR="0081020D" w:rsidRPr="00AB027D">
        <w:t xml:space="preserve">2012 års </w:t>
      </w:r>
      <w:r w:rsidRPr="00AB027D">
        <w:t xml:space="preserve">lag XXXVI om nationalförsamlingen får ett brottmålsförfarande eller, i händelse av att immuniteten inte upphävs frivilligt i samband med ärendet i fråga, </w:t>
      </w:r>
      <w:r w:rsidR="00526927" w:rsidRPr="00AB027D">
        <w:t>överträdelseförfaranden</w:t>
      </w:r>
      <w:r w:rsidRPr="00AB027D">
        <w:t xml:space="preserve"> inte inledas eller fullföljas och </w:t>
      </w:r>
      <w:r w:rsidR="00526927" w:rsidRPr="00AB027D">
        <w:t xml:space="preserve">straffrättsliga </w:t>
      </w:r>
      <w:r w:rsidRPr="00AB027D">
        <w:t>tvångsåtgärder inte vidtas gentemot en ledamot utan nationalförsamlingens föregående samtycke.</w:t>
      </w:r>
    </w:p>
    <w:p w14:paraId="39C071E5" w14:textId="77777777" w:rsidR="00B160A3" w:rsidRPr="00AB027D" w:rsidRDefault="00B160A3" w:rsidP="00B160A3">
      <w:pPr>
        <w:pStyle w:val="NormalHanging12a"/>
      </w:pPr>
      <w:r w:rsidRPr="00AB027D">
        <w:t>K.</w:t>
      </w:r>
      <w:r w:rsidRPr="00AB027D">
        <w:tab/>
        <w:t xml:space="preserve">Det framgår av Europeiska unionens domstols rättspraxis att parlamentet har ”ett stort utrymme för skönsmässig bedömning när det gäller vilken linje det avser att följa i ett beslut till följd av en begäran om att upphäva [...] immuniteten, på grund av den </w:t>
      </w:r>
      <w:r w:rsidRPr="00AB027D">
        <w:lastRenderedPageBreak/>
        <w:t>politiska karaktären hos det beslut det ska fatta”</w:t>
      </w:r>
      <w:r w:rsidRPr="00AB027D">
        <w:rPr>
          <w:vertAlign w:val="superscript"/>
        </w:rPr>
        <w:footnoteReference w:id="2"/>
      </w:r>
      <w:r w:rsidRPr="00AB027D">
        <w:t xml:space="preserve">. </w:t>
      </w:r>
    </w:p>
    <w:p w14:paraId="26DE235A" w14:textId="43C78B1A" w:rsidR="00B160A3" w:rsidRPr="00AB027D" w:rsidRDefault="00B160A3" w:rsidP="00B160A3">
      <w:pPr>
        <w:pStyle w:val="NormalHanging12a"/>
      </w:pPr>
      <w:r w:rsidRPr="00AB027D">
        <w:t>L.</w:t>
      </w:r>
      <w:r w:rsidRPr="00AB027D">
        <w:tab/>
      </w:r>
      <w:proofErr w:type="spellStart"/>
      <w:r w:rsidRPr="00AB027D">
        <w:t>Klára</w:t>
      </w:r>
      <w:proofErr w:type="spellEnd"/>
      <w:r w:rsidRPr="00AB027D">
        <w:t xml:space="preserve"> </w:t>
      </w:r>
      <w:proofErr w:type="spellStart"/>
      <w:r w:rsidRPr="00AB027D">
        <w:t>Dobrev</w:t>
      </w:r>
      <w:proofErr w:type="spellEnd"/>
      <w:r w:rsidRPr="00AB027D">
        <w:t xml:space="preserve"> ses som en högljudd motståndare till och kritiker av den ungerska regeringen. Målsäganden är även syster till Ungerns tidigare president, som </w:t>
      </w:r>
      <w:r w:rsidR="00526927" w:rsidRPr="00AB027D">
        <w:t>är</w:t>
      </w:r>
      <w:r w:rsidR="0081020D" w:rsidRPr="00AB027D">
        <w:t xml:space="preserve"> </w:t>
      </w:r>
      <w:r w:rsidRPr="00AB027D">
        <w:t xml:space="preserve">medlem av det styrande politiska partiet. </w:t>
      </w:r>
      <w:r w:rsidR="0081020D" w:rsidRPr="00AB027D">
        <w:t>Härav</w:t>
      </w:r>
      <w:r w:rsidRPr="00AB027D">
        <w:t xml:space="preserve"> kan man sluta sig till att målsäganden har anknytning till de innersta kretsarna av Ungerns styrande politiska </w:t>
      </w:r>
      <w:r w:rsidR="00725D25" w:rsidRPr="00AB027D">
        <w:t>förvaltning</w:t>
      </w:r>
      <w:r w:rsidRPr="00AB027D">
        <w:t xml:space="preserve">. </w:t>
      </w:r>
    </w:p>
    <w:p w14:paraId="32FF0046" w14:textId="3EB73453" w:rsidR="00B160A3" w:rsidRPr="00AB027D" w:rsidRDefault="00B160A3" w:rsidP="00B160A3">
      <w:pPr>
        <w:pStyle w:val="NormalHanging12a"/>
        <w:widowControl/>
      </w:pPr>
      <w:r w:rsidRPr="00AB027D">
        <w:t>M.</w:t>
      </w:r>
      <w:r w:rsidRPr="00AB027D">
        <w:tab/>
      </w:r>
      <w:r w:rsidR="00725D25" w:rsidRPr="00AB027D">
        <w:t xml:space="preserve">Enligt ungersk rätt kan åtal om förtal </w:t>
      </w:r>
      <w:r w:rsidRPr="00AB027D">
        <w:t xml:space="preserve">väckas </w:t>
      </w:r>
      <w:r w:rsidR="00725D25" w:rsidRPr="00AB027D">
        <w:t>antingen</w:t>
      </w:r>
      <w:r w:rsidRPr="00AB027D">
        <w:t xml:space="preserve"> </w:t>
      </w:r>
      <w:r w:rsidR="00725D25" w:rsidRPr="00AB027D">
        <w:t xml:space="preserve">på </w:t>
      </w:r>
      <w:r w:rsidRPr="00AB027D">
        <w:t xml:space="preserve">straffrättslig eller civilrättslig grund, med betydande skillnader i de möjliga rättsliga konsekvenserna, däribland </w:t>
      </w:r>
      <w:r w:rsidR="00725D25" w:rsidRPr="00AB027D">
        <w:t xml:space="preserve">i fråga om </w:t>
      </w:r>
      <w:r w:rsidRPr="00AB027D">
        <w:t xml:space="preserve">fängelsestraff. I det föreliggande fallet väcker valet att vidta straffrättsliga åtgärder tvivel om </w:t>
      </w:r>
      <w:r w:rsidR="00725D25" w:rsidRPr="00AB027D">
        <w:t>huruvida ändamålet verkligen är</w:t>
      </w:r>
      <w:r w:rsidRPr="00AB027D">
        <w:t xml:space="preserve"> att söka gottgörelse för faktisk</w:t>
      </w:r>
      <w:r w:rsidR="00725D25" w:rsidRPr="00AB027D">
        <w:t xml:space="preserve"> skada på målsägandens anseende</w:t>
      </w:r>
      <w:r w:rsidRPr="00AB027D">
        <w:t xml:space="preserve"> och öppnar därmed för möjligheten att åtgärden överskrider detta legitima </w:t>
      </w:r>
      <w:r w:rsidR="00725D25" w:rsidRPr="00AB027D">
        <w:t>ända</w:t>
      </w:r>
      <w:r w:rsidRPr="00AB027D">
        <w:t xml:space="preserve">mål och syftar till att skada </w:t>
      </w:r>
      <w:proofErr w:type="spellStart"/>
      <w:r w:rsidRPr="00AB027D">
        <w:t>Klára</w:t>
      </w:r>
      <w:proofErr w:type="spellEnd"/>
      <w:r w:rsidRPr="00AB027D">
        <w:t xml:space="preserve"> </w:t>
      </w:r>
      <w:proofErr w:type="spellStart"/>
      <w:r w:rsidRPr="00AB027D">
        <w:t>Dobrevs</w:t>
      </w:r>
      <w:proofErr w:type="spellEnd"/>
      <w:r w:rsidRPr="00AB027D">
        <w:t xml:space="preserve"> anseende som ledamot av Europaparlamentet.</w:t>
      </w:r>
    </w:p>
    <w:p w14:paraId="7BBA4954" w14:textId="155F3616" w:rsidR="00B160A3" w:rsidRPr="00AB027D" w:rsidRDefault="00B160A3" w:rsidP="00B160A3">
      <w:pPr>
        <w:pStyle w:val="NormalHanging12a"/>
      </w:pPr>
      <w:r w:rsidRPr="00AB027D">
        <w:t>N.</w:t>
      </w:r>
      <w:r w:rsidRPr="00AB027D">
        <w:tab/>
        <w:t xml:space="preserve">Vid tidpunkten för de sakförhållanden som gett upphov till begäran om upphävande av </w:t>
      </w:r>
      <w:proofErr w:type="spellStart"/>
      <w:r w:rsidRPr="00AB027D">
        <w:t>Klára</w:t>
      </w:r>
      <w:proofErr w:type="spellEnd"/>
      <w:r w:rsidRPr="00AB027D">
        <w:t xml:space="preserve"> </w:t>
      </w:r>
      <w:proofErr w:type="spellStart"/>
      <w:r w:rsidRPr="00AB027D">
        <w:t>Dobrevs</w:t>
      </w:r>
      <w:proofErr w:type="spellEnd"/>
      <w:r w:rsidRPr="00AB027D">
        <w:t xml:space="preserve"> parlamentariska immunitet var hon medlem av Europaparlamentets utskott för medborgerliga fri- och rättigheter samt rättsliga och inrikes frågor, som regelbundet hanterar straffrättsliga ärenden, bland annat skydd av barn och </w:t>
      </w:r>
      <w:r w:rsidR="00725D25" w:rsidRPr="00AB027D">
        <w:t xml:space="preserve">därmed sammanhängande </w:t>
      </w:r>
      <w:r w:rsidRPr="00AB027D">
        <w:t xml:space="preserve">brott såsom pedofili. </w:t>
      </w:r>
      <w:proofErr w:type="spellStart"/>
      <w:r w:rsidRPr="00AB027D">
        <w:t>Klára</w:t>
      </w:r>
      <w:proofErr w:type="spellEnd"/>
      <w:r w:rsidRPr="00AB027D">
        <w:t xml:space="preserve"> </w:t>
      </w:r>
      <w:proofErr w:type="spellStart"/>
      <w:r w:rsidRPr="00AB027D">
        <w:t>Dobrev</w:t>
      </w:r>
      <w:proofErr w:type="spellEnd"/>
      <w:r w:rsidRPr="00AB027D">
        <w:t xml:space="preserve"> tog i sin verksamhet som ledamot av Europaparlamentet politisk ställning och uttalade sig ofta mot sitt lands politiska myndigheter.</w:t>
      </w:r>
    </w:p>
    <w:p w14:paraId="349C1BCB" w14:textId="706DE4E2" w:rsidR="00B160A3" w:rsidRPr="00AB027D" w:rsidRDefault="00B160A3" w:rsidP="00B160A3">
      <w:pPr>
        <w:pStyle w:val="NormalHanging12a"/>
      </w:pPr>
      <w:r w:rsidRPr="00AB027D">
        <w:t>O.</w:t>
      </w:r>
      <w:r w:rsidRPr="00AB027D">
        <w:tab/>
        <w:t>Detta framstår därmed som ett fall där det kan antas att</w:t>
      </w:r>
      <w:r w:rsidRPr="00AB027D">
        <w:rPr>
          <w:i/>
          <w:iCs/>
        </w:rPr>
        <w:t xml:space="preserve"> fumus persecutionis</w:t>
      </w:r>
      <w:r w:rsidRPr="00AB027D">
        <w:t xml:space="preserve"> föreligger, det vill säga att det finns ”konkreta uppgifter”</w:t>
      </w:r>
      <w:r w:rsidRPr="00AB027D">
        <w:rPr>
          <w:vertAlign w:val="superscript"/>
        </w:rPr>
        <w:footnoteReference w:id="3"/>
      </w:r>
      <w:r w:rsidRPr="00AB027D">
        <w:t xml:space="preserve"> som visar att de ifrågavarande rättsliga åtgärderna har vidtagits i avsikt att skada </w:t>
      </w:r>
      <w:proofErr w:type="spellStart"/>
      <w:r w:rsidR="00725D25" w:rsidRPr="00AB027D">
        <w:t>Klára</w:t>
      </w:r>
      <w:proofErr w:type="spellEnd"/>
      <w:r w:rsidR="00725D25" w:rsidRPr="00AB027D">
        <w:t xml:space="preserve"> </w:t>
      </w:r>
      <w:r w:rsidRPr="00AB027D">
        <w:t>politiska verksamhet</w:t>
      </w:r>
      <w:r w:rsidR="00725D25" w:rsidRPr="00AB027D">
        <w:t xml:space="preserve"> </w:t>
      </w:r>
      <w:r w:rsidRPr="00AB027D">
        <w:t>som berörs av begäran om upphävande av immunitet.</w:t>
      </w:r>
    </w:p>
    <w:p w14:paraId="63E31362" w14:textId="77777777" w:rsidR="00B160A3" w:rsidRPr="00AB027D" w:rsidRDefault="00B160A3" w:rsidP="00B160A3">
      <w:pPr>
        <w:pStyle w:val="NormalHanging12a"/>
      </w:pPr>
      <w:r w:rsidRPr="00AB027D">
        <w:t>P.</w:t>
      </w:r>
      <w:r w:rsidRPr="00AB027D">
        <w:tab/>
        <w:t>Å ena sidan kan parlamentet inte likställas med en domstol, och å andra sidan kan parlamentsledamoten, inom ramen för ett förfarande för att upphäva immunitet, inte betraktas som ”anklagad”</w:t>
      </w:r>
      <w:r w:rsidRPr="00AB027D">
        <w:rPr>
          <w:rStyle w:val="FootnoteReference"/>
          <w:color w:val="000000"/>
        </w:rPr>
        <w:footnoteReference w:id="4"/>
      </w:r>
      <w:r w:rsidRPr="00AB027D">
        <w:t>.</w:t>
      </w:r>
    </w:p>
    <w:p w14:paraId="196B923C" w14:textId="77777777" w:rsidR="00B160A3" w:rsidRPr="00AB027D" w:rsidRDefault="00B160A3" w:rsidP="00B160A3">
      <w:pPr>
        <w:pStyle w:val="NormalHanging12a"/>
      </w:pPr>
      <w:r w:rsidRPr="00AB027D">
        <w:t>1.</w:t>
      </w:r>
      <w:r w:rsidRPr="00AB027D">
        <w:tab/>
        <w:t xml:space="preserve">Europaparlamentet beslutar att inte upphäva </w:t>
      </w:r>
      <w:proofErr w:type="spellStart"/>
      <w:r w:rsidRPr="00AB027D">
        <w:t>Klára</w:t>
      </w:r>
      <w:proofErr w:type="spellEnd"/>
      <w:r w:rsidRPr="00AB027D">
        <w:t xml:space="preserve"> </w:t>
      </w:r>
      <w:proofErr w:type="spellStart"/>
      <w:r w:rsidRPr="00AB027D">
        <w:t>Dobrevs</w:t>
      </w:r>
      <w:proofErr w:type="spellEnd"/>
      <w:r w:rsidRPr="00AB027D">
        <w:t xml:space="preserve"> immunitet.</w:t>
      </w:r>
    </w:p>
    <w:p w14:paraId="4ED5D665" w14:textId="0D278D59" w:rsidR="00152F6B" w:rsidRPr="00AB027D" w:rsidRDefault="00B160A3" w:rsidP="00152F6B">
      <w:pPr>
        <w:pStyle w:val="NormalHanging12a"/>
      </w:pPr>
      <w:r w:rsidRPr="00AB027D">
        <w:t>2.</w:t>
      </w:r>
      <w:r w:rsidRPr="00AB027D">
        <w:tab/>
        <w:t xml:space="preserve">Europaparlamentet uppdrar åt talmannen att omedelbart översända detta beslut och det ansvariga utskottets betänkande till den behöriga myndigheten i Ungern och till </w:t>
      </w:r>
      <w:proofErr w:type="spellStart"/>
      <w:r w:rsidRPr="00AB027D">
        <w:t>Klára</w:t>
      </w:r>
      <w:proofErr w:type="spellEnd"/>
      <w:r w:rsidRPr="00AB027D">
        <w:t xml:space="preserve"> </w:t>
      </w:r>
      <w:proofErr w:type="spellStart"/>
      <w:r w:rsidRPr="00AB027D">
        <w:t>Dobrev</w:t>
      </w:r>
      <w:proofErr w:type="spellEnd"/>
      <w:r w:rsidRPr="00AB027D">
        <w:t>.</w:t>
      </w:r>
    </w:p>
    <w:p w14:paraId="450AF163" w14:textId="2D1167A2" w:rsidR="00E365E1" w:rsidRPr="00AB027D" w:rsidRDefault="00E365E1" w:rsidP="003346E2"/>
    <w:sectPr w:rsidR="00E365E1" w:rsidRPr="00AB027D" w:rsidSect="00152F6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3623B" w14:textId="77777777" w:rsidR="003346E2" w:rsidRPr="00152F6B" w:rsidRDefault="003346E2">
      <w:r w:rsidRPr="00152F6B">
        <w:separator/>
      </w:r>
    </w:p>
  </w:endnote>
  <w:endnote w:type="continuationSeparator" w:id="0">
    <w:p w14:paraId="154B7200" w14:textId="77777777" w:rsidR="003346E2" w:rsidRPr="00152F6B" w:rsidRDefault="003346E2">
      <w:r w:rsidRPr="00152F6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55047" w14:textId="77777777" w:rsidR="00064002" w:rsidRPr="00152F6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51365" w14:textId="77777777" w:rsidR="00064002" w:rsidRPr="00152F6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9BD79" w14:textId="77777777" w:rsidR="00064002" w:rsidRPr="00152F6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C911E" w14:textId="77777777" w:rsidR="003346E2" w:rsidRPr="00152F6B" w:rsidRDefault="003346E2">
      <w:r w:rsidRPr="00152F6B">
        <w:separator/>
      </w:r>
    </w:p>
  </w:footnote>
  <w:footnote w:type="continuationSeparator" w:id="0">
    <w:p w14:paraId="331E4720" w14:textId="77777777" w:rsidR="003346E2" w:rsidRPr="00152F6B" w:rsidRDefault="003346E2">
      <w:r w:rsidRPr="00152F6B">
        <w:continuationSeparator/>
      </w:r>
    </w:p>
  </w:footnote>
  <w:footnote w:id="1">
    <w:p w14:paraId="0DB30142" w14:textId="652D2650" w:rsidR="00B160A3" w:rsidRPr="00152F6B" w:rsidRDefault="00B160A3" w:rsidP="00152F6B">
      <w:pPr>
        <w:pStyle w:val="FootnoteText"/>
        <w:ind w:left="567" w:hanging="567"/>
        <w:rPr>
          <w:sz w:val="24"/>
          <w:lang w:val="sv-SE"/>
        </w:rPr>
      </w:pPr>
      <w:r w:rsidRPr="00152F6B">
        <w:rPr>
          <w:rStyle w:val="FootnoteReference"/>
          <w:sz w:val="24"/>
          <w:lang w:val="sv-SE"/>
        </w:rPr>
        <w:footnoteRef/>
      </w:r>
      <w:r w:rsidR="00152F6B" w:rsidRPr="00152F6B">
        <w:rPr>
          <w:sz w:val="24"/>
          <w:lang w:val="sv-SE"/>
        </w:rPr>
        <w:t xml:space="preserve"> </w:t>
      </w:r>
      <w:r w:rsidR="00152F6B" w:rsidRPr="00152F6B">
        <w:rPr>
          <w:sz w:val="24"/>
          <w:lang w:val="sv-SE"/>
        </w:rPr>
        <w:tab/>
      </w:r>
      <w:r w:rsidRPr="00152F6B">
        <w:rPr>
          <w:sz w:val="24"/>
          <w:lang w:val="sv-SE"/>
        </w:rPr>
        <w:t xml:space="preserve">Domstolens dom av den 21 oktober 2008, Marra/De Gregorio och Clemente, C-200/07 och C-201/07, ECLI:EU:C:2008:579, tribunalens dom av den 19 mars 2010, Gollnisch/parlamentet, T-42/06, ECLI:EU:T:2010:102, domstolens dom av den 6 september 2011, Patriciello, C-163/10, ECLI: EU:C:2011:543. tribunalens dom av den 17 januari 2013, Gollnisch/parlamentet, T-346/11 och T-347/11, ECLI:EU:T:2013:23. domstolens dom av den 19 december 2019, </w:t>
      </w:r>
      <w:proofErr w:type="spellStart"/>
      <w:r w:rsidRPr="00152F6B">
        <w:rPr>
          <w:sz w:val="24"/>
          <w:lang w:val="sv-SE"/>
        </w:rPr>
        <w:t>Jungqueras</w:t>
      </w:r>
      <w:proofErr w:type="spellEnd"/>
      <w:r w:rsidRPr="00152F6B">
        <w:rPr>
          <w:sz w:val="24"/>
          <w:lang w:val="sv-SE"/>
        </w:rPr>
        <w:t xml:space="preserve"> </w:t>
      </w:r>
      <w:proofErr w:type="spellStart"/>
      <w:r w:rsidRPr="00152F6B">
        <w:rPr>
          <w:sz w:val="24"/>
          <w:lang w:val="sv-SE"/>
        </w:rPr>
        <w:t>Vies</w:t>
      </w:r>
      <w:proofErr w:type="spellEnd"/>
      <w:r w:rsidRPr="00152F6B">
        <w:rPr>
          <w:sz w:val="24"/>
          <w:lang w:val="sv-SE"/>
        </w:rPr>
        <w:t xml:space="preserve">, C-502/19, ECLI:EU:C:2019:1115. tribunalens dom av den 5 juli 2023, Puigdemont i Casamajó </w:t>
      </w:r>
      <w:proofErr w:type="gramStart"/>
      <w:r w:rsidRPr="00152F6B">
        <w:rPr>
          <w:sz w:val="24"/>
          <w:lang w:val="sv-SE"/>
        </w:rPr>
        <w:t>m.fl.</w:t>
      </w:r>
      <w:proofErr w:type="gramEnd"/>
      <w:r w:rsidRPr="00152F6B">
        <w:rPr>
          <w:sz w:val="24"/>
          <w:lang w:val="sv-SE"/>
        </w:rPr>
        <w:t>/parlamentet, T-272/21, ECLI:EU:T:2023:373.</w:t>
      </w:r>
    </w:p>
  </w:footnote>
  <w:footnote w:id="2">
    <w:p w14:paraId="2743FD72" w14:textId="73129829" w:rsidR="00B160A3" w:rsidRPr="00AB027D" w:rsidRDefault="00B160A3" w:rsidP="00152F6B">
      <w:pPr>
        <w:pStyle w:val="FootnoteText"/>
        <w:ind w:left="567" w:hanging="567"/>
        <w:rPr>
          <w:sz w:val="24"/>
          <w:lang w:val="sv-SE"/>
        </w:rPr>
      </w:pPr>
      <w:r w:rsidRPr="00152F6B">
        <w:rPr>
          <w:rStyle w:val="FootnoteReference"/>
          <w:sz w:val="24"/>
          <w:lang w:val="sv-SE"/>
        </w:rPr>
        <w:footnoteRef/>
      </w:r>
      <w:r w:rsidR="00152F6B" w:rsidRPr="00152F6B">
        <w:rPr>
          <w:sz w:val="24"/>
          <w:lang w:val="sv-SE"/>
        </w:rPr>
        <w:t xml:space="preserve"> </w:t>
      </w:r>
      <w:r w:rsidR="00152F6B" w:rsidRPr="00152F6B">
        <w:rPr>
          <w:sz w:val="24"/>
          <w:lang w:val="sv-SE"/>
        </w:rPr>
        <w:tab/>
      </w:r>
      <w:r w:rsidRPr="00AB027D">
        <w:rPr>
          <w:sz w:val="24"/>
          <w:lang w:val="sv-SE"/>
        </w:rPr>
        <w:t>Tribunalens dom av den 17 januari 2013, Gollnisch/parlamentet, T-346/11 och T-347/11, ECLI:EU:T:2013:23, punkt 59 och där angiven rättspraxis.</w:t>
      </w:r>
    </w:p>
  </w:footnote>
  <w:footnote w:id="3">
    <w:p w14:paraId="765EC84A" w14:textId="4046A897" w:rsidR="00B160A3" w:rsidRPr="00152F6B" w:rsidRDefault="00B160A3" w:rsidP="00152F6B">
      <w:pPr>
        <w:pStyle w:val="FootnoteText"/>
        <w:ind w:left="567" w:hanging="567"/>
        <w:rPr>
          <w:sz w:val="24"/>
          <w:lang w:val="sv-SE"/>
        </w:rPr>
      </w:pPr>
      <w:r w:rsidRPr="00AB027D">
        <w:rPr>
          <w:rStyle w:val="FootnoteReference"/>
          <w:sz w:val="24"/>
          <w:lang w:val="sv-SE"/>
        </w:rPr>
        <w:footnoteRef/>
      </w:r>
      <w:r w:rsidR="00152F6B" w:rsidRPr="00AB027D">
        <w:rPr>
          <w:sz w:val="24"/>
          <w:lang w:val="sv-SE"/>
        </w:rPr>
        <w:t xml:space="preserve"> </w:t>
      </w:r>
      <w:r w:rsidR="00152F6B" w:rsidRPr="00AB027D">
        <w:rPr>
          <w:sz w:val="24"/>
          <w:lang w:val="sv-SE"/>
        </w:rPr>
        <w:tab/>
      </w:r>
      <w:r w:rsidRPr="00AB027D">
        <w:rPr>
          <w:sz w:val="24"/>
          <w:lang w:val="sv-SE"/>
        </w:rPr>
        <w:t>Domstolens dom</w:t>
      </w:r>
      <w:r w:rsidRPr="00152F6B">
        <w:rPr>
          <w:sz w:val="24"/>
          <w:lang w:val="sv-SE"/>
        </w:rPr>
        <w:t xml:space="preserve"> av den 17 september 2020, </w:t>
      </w:r>
      <w:proofErr w:type="spellStart"/>
      <w:r w:rsidRPr="00152F6B">
        <w:rPr>
          <w:sz w:val="24"/>
          <w:lang w:val="sv-SE"/>
        </w:rPr>
        <w:t>Troszczynski</w:t>
      </w:r>
      <w:proofErr w:type="spellEnd"/>
      <w:r w:rsidRPr="00152F6B">
        <w:rPr>
          <w:sz w:val="24"/>
          <w:lang w:val="sv-SE"/>
        </w:rPr>
        <w:t>/parlamentet, C-12/19 P, ECLI:EU:C:2020:725, punkt 26.</w:t>
      </w:r>
    </w:p>
  </w:footnote>
  <w:footnote w:id="4">
    <w:p w14:paraId="2D36C2D5" w14:textId="35694FAC" w:rsidR="00B160A3" w:rsidRPr="00152F6B" w:rsidRDefault="00B160A3" w:rsidP="00152F6B">
      <w:pPr>
        <w:pStyle w:val="FootnoteText"/>
        <w:ind w:left="567" w:hanging="567"/>
        <w:rPr>
          <w:sz w:val="24"/>
          <w:lang w:val="sv-SE"/>
        </w:rPr>
      </w:pPr>
      <w:r w:rsidRPr="00152F6B">
        <w:rPr>
          <w:rStyle w:val="FootnoteReference"/>
          <w:sz w:val="24"/>
          <w:lang w:val="sv-SE"/>
        </w:rPr>
        <w:footnoteRef/>
      </w:r>
      <w:r w:rsidR="00152F6B" w:rsidRPr="00152F6B">
        <w:rPr>
          <w:sz w:val="24"/>
          <w:lang w:val="sv-SE"/>
        </w:rPr>
        <w:t xml:space="preserve"> </w:t>
      </w:r>
      <w:r w:rsidR="00152F6B" w:rsidRPr="00152F6B">
        <w:rPr>
          <w:sz w:val="24"/>
          <w:lang w:val="sv-SE"/>
        </w:rPr>
        <w:tab/>
      </w:r>
      <w:r w:rsidRPr="00152F6B">
        <w:rPr>
          <w:sz w:val="24"/>
          <w:lang w:val="sv-SE"/>
        </w:rPr>
        <w:t>Tribunalens dom av den 30 april 2019, Briois/parlamentet,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2B5BA" w14:textId="77777777" w:rsidR="00064002" w:rsidRPr="00152F6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DC5F3" w14:textId="77777777" w:rsidR="00064002" w:rsidRPr="00152F6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A8F02" w14:textId="77777777" w:rsidR="00064002" w:rsidRPr="00152F6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10718043">
    <w:abstractNumId w:val="9"/>
  </w:num>
  <w:num w:numId="2" w16cid:durableId="1911035852">
    <w:abstractNumId w:val="9"/>
  </w:num>
  <w:num w:numId="3" w16cid:durableId="876160629">
    <w:abstractNumId w:val="7"/>
  </w:num>
  <w:num w:numId="4" w16cid:durableId="107286586">
    <w:abstractNumId w:val="7"/>
  </w:num>
  <w:num w:numId="5" w16cid:durableId="2091198202">
    <w:abstractNumId w:val="6"/>
  </w:num>
  <w:num w:numId="6" w16cid:durableId="561133563">
    <w:abstractNumId w:val="6"/>
  </w:num>
  <w:num w:numId="7" w16cid:durableId="1793789228">
    <w:abstractNumId w:val="5"/>
  </w:num>
  <w:num w:numId="8" w16cid:durableId="131288424">
    <w:abstractNumId w:val="5"/>
  </w:num>
  <w:num w:numId="9" w16cid:durableId="578827912">
    <w:abstractNumId w:val="4"/>
  </w:num>
  <w:num w:numId="10" w16cid:durableId="556626495">
    <w:abstractNumId w:val="4"/>
  </w:num>
  <w:num w:numId="11" w16cid:durableId="1006782943">
    <w:abstractNumId w:val="8"/>
  </w:num>
  <w:num w:numId="12" w16cid:durableId="1074935184">
    <w:abstractNumId w:val="8"/>
  </w:num>
  <w:num w:numId="13" w16cid:durableId="641275730">
    <w:abstractNumId w:val="3"/>
  </w:num>
  <w:num w:numId="14" w16cid:durableId="1708682963">
    <w:abstractNumId w:val="3"/>
  </w:num>
  <w:num w:numId="15" w16cid:durableId="1011372333">
    <w:abstractNumId w:val="2"/>
  </w:num>
  <w:num w:numId="16" w16cid:durableId="1842618544">
    <w:abstractNumId w:val="2"/>
  </w:num>
  <w:num w:numId="17" w16cid:durableId="1129588677">
    <w:abstractNumId w:val="1"/>
  </w:num>
  <w:num w:numId="18" w16cid:durableId="228463443">
    <w:abstractNumId w:val="1"/>
  </w:num>
  <w:num w:numId="19" w16cid:durableId="1957251303">
    <w:abstractNumId w:val="0"/>
  </w:num>
  <w:num w:numId="20" w16cid:durableId="1478113037">
    <w:abstractNumId w:val="0"/>
  </w:num>
  <w:num w:numId="21" w16cid:durableId="454064806">
    <w:abstractNumId w:val="9"/>
  </w:num>
  <w:num w:numId="22" w16cid:durableId="241377148">
    <w:abstractNumId w:val="7"/>
  </w:num>
  <w:num w:numId="23" w16cid:durableId="2083679761">
    <w:abstractNumId w:val="6"/>
  </w:num>
  <w:num w:numId="24" w16cid:durableId="1750694706">
    <w:abstractNumId w:val="5"/>
  </w:num>
  <w:num w:numId="25" w16cid:durableId="967206625">
    <w:abstractNumId w:val="4"/>
  </w:num>
  <w:num w:numId="26" w16cid:durableId="79986456">
    <w:abstractNumId w:val="8"/>
  </w:num>
  <w:num w:numId="27" w16cid:durableId="1185942389">
    <w:abstractNumId w:val="3"/>
  </w:num>
  <w:num w:numId="28" w16cid:durableId="1671179811">
    <w:abstractNumId w:val="2"/>
  </w:num>
  <w:num w:numId="29" w16cid:durableId="340861728">
    <w:abstractNumId w:val="1"/>
  </w:num>
  <w:num w:numId="30" w16cid:durableId="137456368">
    <w:abstractNumId w:val="0"/>
  </w:num>
  <w:num w:numId="31" w16cid:durableId="1930654407">
    <w:abstractNumId w:val="9"/>
  </w:num>
  <w:num w:numId="32" w16cid:durableId="1765878683">
    <w:abstractNumId w:val="7"/>
  </w:num>
  <w:num w:numId="33" w16cid:durableId="1445424490">
    <w:abstractNumId w:val="6"/>
  </w:num>
  <w:num w:numId="34" w16cid:durableId="1083990331">
    <w:abstractNumId w:val="5"/>
  </w:num>
  <w:num w:numId="35" w16cid:durableId="2126190551">
    <w:abstractNumId w:val="4"/>
  </w:num>
  <w:num w:numId="36" w16cid:durableId="489294640">
    <w:abstractNumId w:val="8"/>
  </w:num>
  <w:num w:numId="37" w16cid:durableId="323047218">
    <w:abstractNumId w:val="3"/>
  </w:num>
  <w:num w:numId="38" w16cid:durableId="1673529037">
    <w:abstractNumId w:val="2"/>
  </w:num>
  <w:num w:numId="39" w16cid:durableId="1705714049">
    <w:abstractNumId w:val="1"/>
  </w:num>
  <w:num w:numId="40" w16cid:durableId="1727102340">
    <w:abstractNumId w:val="0"/>
  </w:num>
  <w:num w:numId="41" w16cid:durableId="1579096213">
    <w:abstractNumId w:val="10"/>
  </w:num>
  <w:num w:numId="42" w16cid:durableId="974867450">
    <w:abstractNumId w:val="10"/>
  </w:num>
  <w:num w:numId="43" w16cid:durableId="662779318">
    <w:abstractNumId w:val="10"/>
  </w:num>
  <w:num w:numId="44" w16cid:durableId="4545658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4/2025"/>
    <w:docVar w:name="dvlangue" w:val="SV"/>
    <w:docVar w:name="dvnumam" w:val="0"/>
    <w:docVar w:name="dvpe" w:val="766.949"/>
    <w:docVar w:name="dvrapporteur" w:val="Föredragande: "/>
    <w:docVar w:name="dvtitre" w:val="Europaparlamentets beslut av den xx xx 2025 om begäran om upphävande av Klára Dobrevs immunitet(2024/2042(IMM))"/>
  </w:docVars>
  <w:rsids>
    <w:rsidRoot w:val="003346E2"/>
    <w:rsid w:val="00002272"/>
    <w:rsid w:val="00064002"/>
    <w:rsid w:val="000677B9"/>
    <w:rsid w:val="000831BA"/>
    <w:rsid w:val="000A42CC"/>
    <w:rsid w:val="000E7DD9"/>
    <w:rsid w:val="0010095E"/>
    <w:rsid w:val="00125B37"/>
    <w:rsid w:val="00152F6B"/>
    <w:rsid w:val="00167FD9"/>
    <w:rsid w:val="00183BF3"/>
    <w:rsid w:val="00187494"/>
    <w:rsid w:val="001F32AE"/>
    <w:rsid w:val="0024480C"/>
    <w:rsid w:val="002767FF"/>
    <w:rsid w:val="002B18FE"/>
    <w:rsid w:val="002B5493"/>
    <w:rsid w:val="003346E2"/>
    <w:rsid w:val="00343214"/>
    <w:rsid w:val="00361C00"/>
    <w:rsid w:val="00395FA1"/>
    <w:rsid w:val="003E15D4"/>
    <w:rsid w:val="00407437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6927"/>
    <w:rsid w:val="00545827"/>
    <w:rsid w:val="00560270"/>
    <w:rsid w:val="005C2568"/>
    <w:rsid w:val="005F1B17"/>
    <w:rsid w:val="006037C0"/>
    <w:rsid w:val="00614B2A"/>
    <w:rsid w:val="006631B6"/>
    <w:rsid w:val="00680577"/>
    <w:rsid w:val="006F74FA"/>
    <w:rsid w:val="00725D25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020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4C12"/>
    <w:rsid w:val="00A1687D"/>
    <w:rsid w:val="00A43E52"/>
    <w:rsid w:val="00A4678D"/>
    <w:rsid w:val="00A778C7"/>
    <w:rsid w:val="00A96169"/>
    <w:rsid w:val="00AB027D"/>
    <w:rsid w:val="00AB441E"/>
    <w:rsid w:val="00AB6293"/>
    <w:rsid w:val="00AE0928"/>
    <w:rsid w:val="00AF3B82"/>
    <w:rsid w:val="00B12E95"/>
    <w:rsid w:val="00B160A3"/>
    <w:rsid w:val="00B22876"/>
    <w:rsid w:val="00B558F0"/>
    <w:rsid w:val="00BD48FE"/>
    <w:rsid w:val="00BD7BD8"/>
    <w:rsid w:val="00BE6ADC"/>
    <w:rsid w:val="00C05BFE"/>
    <w:rsid w:val="00C23CD4"/>
    <w:rsid w:val="00C416C1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381D"/>
    <w:rsid w:val="00FB4360"/>
    <w:rsid w:val="00FD0C70"/>
    <w:rsid w:val="00FD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144540"/>
  <w15:chartTrackingRefBased/>
  <w15:docId w15:val="{4497B39E-F882-48A0-8BAC-5F991EE5C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PageHeading">
    <w:name w:val="PageHeading"/>
    <w:basedOn w:val="Normal"/>
    <w:rsid w:val="00B160A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B160A3"/>
    <w:rPr>
      <w:b/>
    </w:rPr>
  </w:style>
  <w:style w:type="paragraph" w:customStyle="1" w:styleId="NormalHanging12a">
    <w:name w:val="NormalHanging12a"/>
    <w:basedOn w:val="Normal"/>
    <w:rsid w:val="00B160A3"/>
    <w:pPr>
      <w:spacing w:after="240"/>
      <w:ind w:left="567" w:hanging="567"/>
    </w:pPr>
  </w:style>
  <w:style w:type="paragraph" w:customStyle="1" w:styleId="EPComma">
    <w:name w:val="EPComma"/>
    <w:basedOn w:val="Normal"/>
    <w:rsid w:val="00B160A3"/>
    <w:pPr>
      <w:spacing w:before="480" w:after="240"/>
    </w:pPr>
  </w:style>
  <w:style w:type="paragraph" w:styleId="Revision">
    <w:name w:val="Revision"/>
    <w:hidden/>
    <w:uiPriority w:val="99"/>
    <w:semiHidden/>
    <w:rsid w:val="00526927"/>
    <w:rPr>
      <w:sz w:val="24"/>
      <w:lang w:val="sv-SE"/>
    </w:rPr>
  </w:style>
  <w:style w:type="character" w:styleId="CommentReference">
    <w:name w:val="annotation reference"/>
    <w:basedOn w:val="DefaultParagraphFont"/>
    <w:rsid w:val="00526927"/>
    <w:rPr>
      <w:sz w:val="16"/>
      <w:szCs w:val="16"/>
    </w:rPr>
  </w:style>
  <w:style w:type="paragraph" w:styleId="CommentText">
    <w:name w:val="annotation text"/>
    <w:basedOn w:val="Normal"/>
    <w:link w:val="CommentTextChar"/>
    <w:rsid w:val="0052692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26927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5269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26927"/>
    <w:rPr>
      <w:b/>
      <w:bCs/>
      <w:lang w:val="sv-SE"/>
    </w:rPr>
  </w:style>
  <w:style w:type="character" w:styleId="Hyperlink">
    <w:name w:val="Hyperlink"/>
    <w:basedOn w:val="DefaultParagraphFont"/>
    <w:rsid w:val="005269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69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985</Words>
  <Characters>5739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ANDERSSON Terese</cp:lastModifiedBy>
  <cp:revision>2</cp:revision>
  <cp:lastPrinted>2004-11-19T15:42:00Z</cp:lastPrinted>
  <dcterms:created xsi:type="dcterms:W3CDTF">2025-10-07T12:14:00Z</dcterms:created>
  <dcterms:modified xsi:type="dcterms:W3CDTF">2025-10-07T12:14:00Z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P10_TA-PROV(2025)0207_</vt:lpwstr>
  </property>
  <property fmtid="{D5CDD505-2E9C-101B-9397-08002B2CF9AE}" pid="4" name="&lt;Type&gt;">
    <vt:lpwstr>RR</vt:lpwstr>
  </property>
</Properties>
</file>