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54533" w14:paraId="43FF75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747ED6" w14:textId="7E709B9F" w:rsidR="00751A4A" w:rsidRPr="00F54533" w:rsidRDefault="00D5203D" w:rsidP="0010095E">
            <w:pPr>
              <w:pStyle w:val="EPName"/>
            </w:pPr>
            <w:r w:rsidRPr="00F54533">
              <w:t>Европейски</w:t>
            </w:r>
            <w:r w:rsidR="00E960AC" w:rsidRPr="00F54533">
              <w:t xml:space="preserve"> парламент</w:t>
            </w:r>
          </w:p>
          <w:p w14:paraId="7D32A5E4" w14:textId="2C309799" w:rsidR="00751A4A" w:rsidRPr="00F5453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4533">
              <w:t>2024</w:t>
            </w:r>
            <w:r w:rsidR="00D5203D">
              <w:rPr>
                <w:lang w:val="en-GB"/>
              </w:rPr>
              <w:t> – </w:t>
            </w:r>
            <w:r w:rsidR="00817416" w:rsidRPr="00F54533">
              <w:t>202</w:t>
            </w:r>
            <w:r w:rsidRPr="00F54533">
              <w:t>9</w:t>
            </w:r>
          </w:p>
        </w:tc>
        <w:tc>
          <w:tcPr>
            <w:tcW w:w="2268" w:type="dxa"/>
            <w:shd w:val="clear" w:color="auto" w:fill="auto"/>
          </w:tcPr>
          <w:p w14:paraId="1B1306FA" w14:textId="77777777" w:rsidR="00751A4A" w:rsidRPr="00F54533" w:rsidRDefault="00187494" w:rsidP="0010095E">
            <w:pPr>
              <w:pStyle w:val="EPLogo"/>
            </w:pPr>
            <w:r w:rsidRPr="00F54533">
              <w:rPr>
                <w:noProof/>
                <w:lang w:eastAsia="ja-JP"/>
              </w:rPr>
              <w:drawing>
                <wp:inline distT="0" distB="0" distL="0" distR="0" wp14:anchorId="3BD0B560" wp14:editId="50CAFBF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3AFB9F" w14:textId="77777777" w:rsidR="00D058B8" w:rsidRPr="00F54533" w:rsidRDefault="00D058B8" w:rsidP="004C5D52">
      <w:pPr>
        <w:pStyle w:val="LineTop"/>
      </w:pPr>
    </w:p>
    <w:p w14:paraId="03D3D290" w14:textId="77777777" w:rsidR="00680577" w:rsidRPr="00F54533" w:rsidRDefault="00E960AC" w:rsidP="00680577">
      <w:pPr>
        <w:pStyle w:val="EPBodyTA1"/>
      </w:pPr>
      <w:r w:rsidRPr="00F54533">
        <w:t>ПРИЕТИ ТЕКСТОВЕ</w:t>
      </w:r>
    </w:p>
    <w:p w14:paraId="7041A2F2" w14:textId="77777777" w:rsidR="00D058B8" w:rsidRPr="00F54533" w:rsidRDefault="00D058B8" w:rsidP="00D058B8">
      <w:pPr>
        <w:pStyle w:val="LineBottom"/>
      </w:pPr>
    </w:p>
    <w:p w14:paraId="21150671" w14:textId="4352478B" w:rsidR="00E960AC" w:rsidRPr="00105C5B" w:rsidRDefault="00E960AC" w:rsidP="00E960AC">
      <w:pPr>
        <w:pStyle w:val="ATHeading1"/>
        <w:rPr>
          <w:lang w:val="en-GB"/>
        </w:rPr>
      </w:pPr>
      <w:bookmarkStart w:id="0" w:name="TANumber"/>
      <w:r w:rsidRPr="00F54533">
        <w:t>P10_TA(2025)0</w:t>
      </w:r>
      <w:bookmarkEnd w:id="0"/>
      <w:r w:rsidR="00105C5B">
        <w:rPr>
          <w:lang w:val="en-GB"/>
        </w:rPr>
        <w:t>208</w:t>
      </w:r>
    </w:p>
    <w:p w14:paraId="3EA4DF83" w14:textId="77777777" w:rsidR="00E960AC" w:rsidRPr="00F54533" w:rsidRDefault="00E960AC" w:rsidP="00E960AC">
      <w:pPr>
        <w:pStyle w:val="ATHeading2"/>
      </w:pPr>
      <w:bookmarkStart w:id="1" w:name="title"/>
      <w:r w:rsidRPr="00F54533">
        <w:t>Изменение на някои регламенти в областта на финансовите услуги и подкрепата за инвестициите по отношение на някои изисквания за докладване</w:t>
      </w:r>
      <w:bookmarkEnd w:id="1"/>
    </w:p>
    <w:p w14:paraId="561F82D9" w14:textId="77777777" w:rsidR="00E960AC" w:rsidRPr="00F54533" w:rsidRDefault="00E960AC" w:rsidP="00E960AC">
      <w:pPr>
        <w:rPr>
          <w:i/>
          <w:vanish/>
        </w:rPr>
      </w:pPr>
      <w:r w:rsidRPr="00F54533">
        <w:rPr>
          <w:i/>
        </w:rPr>
        <w:fldChar w:fldCharType="begin"/>
      </w:r>
      <w:r w:rsidRPr="00F54533">
        <w:rPr>
          <w:i/>
        </w:rPr>
        <w:instrText xml:space="preserve"> TC"(</w:instrText>
      </w:r>
      <w:bookmarkStart w:id="2" w:name="DocNumber"/>
      <w:r w:rsidRPr="00F54533">
        <w:rPr>
          <w:i/>
        </w:rPr>
        <w:instrText>A10-0166/2025</w:instrText>
      </w:r>
      <w:bookmarkEnd w:id="2"/>
      <w:r w:rsidRPr="00F54533">
        <w:rPr>
          <w:i/>
        </w:rPr>
        <w:instrText xml:space="preserve"> - Докладчик: </w:instrText>
      </w:r>
      <w:proofErr w:type="spellStart"/>
      <w:r w:rsidRPr="00F54533">
        <w:rPr>
          <w:i/>
        </w:rPr>
        <w:instrText>Паулюс</w:instrText>
      </w:r>
      <w:proofErr w:type="spellEnd"/>
      <w:r w:rsidRPr="00F54533">
        <w:rPr>
          <w:i/>
        </w:rPr>
        <w:instrText xml:space="preserve"> </w:instrText>
      </w:r>
      <w:proofErr w:type="spellStart"/>
      <w:r w:rsidRPr="00F54533">
        <w:rPr>
          <w:i/>
        </w:rPr>
        <w:instrText>Саударгас</w:instrText>
      </w:r>
      <w:proofErr w:type="spellEnd"/>
      <w:r w:rsidRPr="00F54533">
        <w:rPr>
          <w:i/>
        </w:rPr>
        <w:instrText xml:space="preserve">)"\l3 \n&gt; \* MERGEFORMAT </w:instrText>
      </w:r>
      <w:r w:rsidRPr="00F54533">
        <w:rPr>
          <w:i/>
        </w:rPr>
        <w:fldChar w:fldCharType="end"/>
      </w:r>
    </w:p>
    <w:p w14:paraId="11EBAC01" w14:textId="77777777" w:rsidR="00E960AC" w:rsidRPr="00F54533" w:rsidRDefault="00E960AC" w:rsidP="00E960AC">
      <w:pPr>
        <w:rPr>
          <w:vanish/>
        </w:rPr>
      </w:pPr>
      <w:bookmarkStart w:id="3" w:name="Commission"/>
      <w:r w:rsidRPr="00F54533">
        <w:rPr>
          <w:vanish/>
        </w:rPr>
        <w:t>Комисия по икономически и парични въпроси</w:t>
      </w:r>
      <w:bookmarkEnd w:id="3"/>
    </w:p>
    <w:p w14:paraId="19326ECB" w14:textId="77777777" w:rsidR="00E960AC" w:rsidRPr="00F54533" w:rsidRDefault="00E960AC" w:rsidP="00E960AC">
      <w:pPr>
        <w:rPr>
          <w:vanish/>
        </w:rPr>
      </w:pPr>
      <w:bookmarkStart w:id="4" w:name="PE"/>
      <w:r w:rsidRPr="00F54533">
        <w:rPr>
          <w:vanish/>
        </w:rPr>
        <w:t>PE777.025</w:t>
      </w:r>
      <w:bookmarkEnd w:id="4"/>
    </w:p>
    <w:p w14:paraId="3ED11FB6" w14:textId="6F0CFE90" w:rsidR="00E960AC" w:rsidRPr="00F54533" w:rsidRDefault="00E960AC" w:rsidP="00E960AC">
      <w:pPr>
        <w:pStyle w:val="ATHeading3"/>
      </w:pPr>
      <w:bookmarkStart w:id="5" w:name="Sujet"/>
      <w:r w:rsidRPr="00F54533">
        <w:t xml:space="preserve">Законодателна резолюция на Европейския парламент от </w:t>
      </w:r>
      <w:r w:rsidR="001307A4">
        <w:rPr>
          <w:lang w:val="en-GB"/>
        </w:rPr>
        <w:t xml:space="preserve">7 </w:t>
      </w:r>
      <w:r w:rsidR="001307A4">
        <w:t>октомври</w:t>
      </w:r>
      <w:r w:rsidRPr="00F54533">
        <w:t xml:space="preserve"> 2025 г. относно позицията на Съвета на първо четене с оглед на приемането на </w:t>
      </w:r>
      <w:r w:rsidR="001307A4" w:rsidRPr="00F54533">
        <w:t xml:space="preserve">регламент на Европейския парламент и на Съвета </w:t>
      </w:r>
      <w:r w:rsidRPr="00F54533">
        <w:t>за изменение на регламенти (ЕС) № 1092/2010, (ЕС) № 1093/2010, (ЕС) № 1094/2010, (ЕС) № 1095/2010, (ЕС) № 806/2014, (ЕС) 2021/523 и (ЕС) 2024/1620 по отношение на някои изисквания за докладване в областта на финансовите услуги и подкрепата за инвестициите</w:t>
      </w:r>
      <w:bookmarkEnd w:id="5"/>
      <w:r w:rsidRPr="00F54533">
        <w:t xml:space="preserve"> </w:t>
      </w:r>
      <w:bookmarkStart w:id="6" w:name="References"/>
      <w:r w:rsidRPr="00F54533">
        <w:t>(07377/1/2025 – C10-0196/2025 – 2023/0363(COD))</w:t>
      </w:r>
      <w:bookmarkEnd w:id="6"/>
    </w:p>
    <w:p w14:paraId="77BA6B45" w14:textId="77777777" w:rsidR="00E960AC" w:rsidRPr="00F54533" w:rsidRDefault="00E960AC" w:rsidP="00E960AC"/>
    <w:p w14:paraId="66ECCB86" w14:textId="77777777" w:rsidR="007E0116" w:rsidRPr="00F54533" w:rsidRDefault="007E0116" w:rsidP="007E0116">
      <w:pPr>
        <w:pStyle w:val="NormalBold"/>
      </w:pPr>
      <w:bookmarkStart w:id="7" w:name="TextBodyBegin"/>
      <w:bookmarkEnd w:id="7"/>
      <w:r w:rsidRPr="00F54533">
        <w:t>(Обикновена законодателна процедура: второ четене)</w:t>
      </w:r>
    </w:p>
    <w:p w14:paraId="2548D0BD" w14:textId="77777777" w:rsidR="007E0116" w:rsidRPr="00F54533" w:rsidRDefault="007E0116" w:rsidP="007E0116">
      <w:pPr>
        <w:pStyle w:val="EPComma"/>
      </w:pPr>
      <w:r w:rsidRPr="00F54533">
        <w:rPr>
          <w:i/>
        </w:rPr>
        <w:t>Европейският парламент</w:t>
      </w:r>
      <w:r w:rsidRPr="00F54533">
        <w:t>,</w:t>
      </w:r>
    </w:p>
    <w:p w14:paraId="757C9C34" w14:textId="77777777" w:rsidR="007E0116" w:rsidRPr="00F54533" w:rsidRDefault="007E0116" w:rsidP="007E0116">
      <w:pPr>
        <w:pStyle w:val="NormalHanging12a"/>
      </w:pPr>
      <w:r w:rsidRPr="00F54533">
        <w:t>—</w:t>
      </w:r>
      <w:r w:rsidRPr="00F54533">
        <w:tab/>
        <w:t>като взе предвид позицията на Съвета на първо четене (07377/1/2025 – C10</w:t>
      </w:r>
      <w:r w:rsidRPr="00F54533">
        <w:noBreakHyphen/>
        <w:t>0196/2025),</w:t>
      </w:r>
    </w:p>
    <w:p w14:paraId="488163E9" w14:textId="77777777" w:rsidR="007E0116" w:rsidRPr="00F54533" w:rsidRDefault="007E0116" w:rsidP="007E0116">
      <w:pPr>
        <w:pStyle w:val="NormalHanging12a"/>
      </w:pPr>
      <w:r w:rsidRPr="00F54533">
        <w:t>—</w:t>
      </w:r>
      <w:r w:rsidRPr="00F54533">
        <w:tab/>
        <w:t>като взе предвид становището на Европейската централна банка от 21 юни 2024 г.</w:t>
      </w:r>
      <w:r w:rsidRPr="00F54533">
        <w:rPr>
          <w:rStyle w:val="FootnoteReference"/>
        </w:rPr>
        <w:footnoteReference w:id="1"/>
      </w:r>
      <w:r w:rsidRPr="00F54533">
        <w:t>,</w:t>
      </w:r>
    </w:p>
    <w:p w14:paraId="26E2C693" w14:textId="77777777" w:rsidR="007E0116" w:rsidRPr="00F54533" w:rsidRDefault="007E0116" w:rsidP="007E0116">
      <w:pPr>
        <w:pStyle w:val="NormalHanging12a"/>
      </w:pPr>
      <w:r w:rsidRPr="00F54533">
        <w:t>—</w:t>
      </w:r>
      <w:r w:rsidRPr="00F54533">
        <w:tab/>
        <w:t>като взе предвид становището на Европейския икономически и социален комитет от 14 февруари 2024 г.</w:t>
      </w:r>
      <w:r w:rsidRPr="00F54533">
        <w:rPr>
          <w:rStyle w:val="FootnoteReference"/>
        </w:rPr>
        <w:footnoteReference w:id="2"/>
      </w:r>
      <w:r w:rsidRPr="00F54533">
        <w:t>;</w:t>
      </w:r>
    </w:p>
    <w:p w14:paraId="64E8C294" w14:textId="77777777" w:rsidR="007E0116" w:rsidRPr="00F54533" w:rsidRDefault="007E0116" w:rsidP="007E0116">
      <w:pPr>
        <w:pStyle w:val="NormalHanging12a"/>
      </w:pPr>
      <w:r w:rsidRPr="00F54533">
        <w:t>—</w:t>
      </w:r>
      <w:r w:rsidRPr="00F54533">
        <w:tab/>
        <w:t>след консултация с Комитета на регионите,</w:t>
      </w:r>
    </w:p>
    <w:p w14:paraId="507D850D" w14:textId="0213B47F" w:rsidR="007E0116" w:rsidRPr="00F54533" w:rsidRDefault="007E0116" w:rsidP="007E0116">
      <w:pPr>
        <w:pStyle w:val="NormalHanging12a"/>
      </w:pPr>
      <w:r w:rsidRPr="00F54533">
        <w:t>—</w:t>
      </w:r>
      <w:r w:rsidRPr="00F54533">
        <w:tab/>
        <w:t>като взе предвид позицията си на първо четене</w:t>
      </w:r>
      <w:r w:rsidRPr="00F54533">
        <w:rPr>
          <w:rStyle w:val="FootnoteReference"/>
        </w:rPr>
        <w:footnoteReference w:id="3"/>
      </w:r>
      <w:r w:rsidRPr="00F54533">
        <w:t xml:space="preserve"> относно предложението на Комисията до </w:t>
      </w:r>
      <w:r w:rsidR="004C5F5D">
        <w:t>П</w:t>
      </w:r>
      <w:r w:rsidRPr="00F54533">
        <w:t>арламент</w:t>
      </w:r>
      <w:r w:rsidR="004C5F5D">
        <w:t>а</w:t>
      </w:r>
      <w:r w:rsidRPr="00F54533">
        <w:t xml:space="preserve"> и до Съвета (COM(2023)0593),</w:t>
      </w:r>
    </w:p>
    <w:p w14:paraId="7A662307" w14:textId="77777777" w:rsidR="007E0116" w:rsidRPr="00F54533" w:rsidRDefault="007E0116" w:rsidP="007E0116">
      <w:pPr>
        <w:pStyle w:val="NormalHanging12a"/>
      </w:pPr>
      <w:r w:rsidRPr="00F54533">
        <w:t>—</w:t>
      </w:r>
      <w:r w:rsidRPr="00F54533">
        <w:tab/>
        <w:t xml:space="preserve">като взе предвид член 294, параграф 7 от Договора за функционирането на </w:t>
      </w:r>
      <w:r w:rsidRPr="00F54533">
        <w:lastRenderedPageBreak/>
        <w:t>Европейския съюз,</w:t>
      </w:r>
    </w:p>
    <w:p w14:paraId="3B5AC58B" w14:textId="77777777" w:rsidR="007E0116" w:rsidRPr="00F54533" w:rsidRDefault="007E0116" w:rsidP="007E0116">
      <w:pPr>
        <w:pStyle w:val="NormalHanging12a"/>
      </w:pPr>
      <w:r w:rsidRPr="00F54533">
        <w:t>—</w:t>
      </w:r>
      <w:r w:rsidRPr="00F54533">
        <w:tab/>
        <w:t>като взе предвид временното споразумение, одобрено от компетентната комисия в съответствие с член 75, параграф 4 от своя Правилник за дейността,</w:t>
      </w:r>
    </w:p>
    <w:p w14:paraId="24594508" w14:textId="77777777" w:rsidR="007E0116" w:rsidRPr="00F54533" w:rsidRDefault="007E0116" w:rsidP="007E0116">
      <w:pPr>
        <w:pStyle w:val="NormalHanging12a"/>
      </w:pPr>
      <w:r w:rsidRPr="00F54533">
        <w:t>—</w:t>
      </w:r>
      <w:r w:rsidRPr="00F54533">
        <w:tab/>
        <w:t>като взе предвид член 68 от своя Правилник за дейността,</w:t>
      </w:r>
    </w:p>
    <w:p w14:paraId="0FBA0E17" w14:textId="77777777" w:rsidR="007E0116" w:rsidRPr="00F54533" w:rsidRDefault="007E0116" w:rsidP="007E0116">
      <w:pPr>
        <w:pStyle w:val="NormalHanging12a"/>
      </w:pPr>
      <w:r w:rsidRPr="00F54533">
        <w:t>—</w:t>
      </w:r>
      <w:r w:rsidRPr="00F54533">
        <w:tab/>
        <w:t>като взе предвид препоръката за второ четене на комисията по икономически и парични въпроси (A10-0166/2025),</w:t>
      </w:r>
    </w:p>
    <w:p w14:paraId="6FBB3516" w14:textId="77777777" w:rsidR="007E0116" w:rsidRPr="00F54533" w:rsidRDefault="007E0116" w:rsidP="007E0116">
      <w:pPr>
        <w:pStyle w:val="NormalHanging12a"/>
      </w:pPr>
      <w:r w:rsidRPr="00F54533">
        <w:t>1.</w:t>
      </w:r>
      <w:r w:rsidRPr="00F54533">
        <w:tab/>
        <w:t>одобрява позицията на Съвета на първо четене;</w:t>
      </w:r>
    </w:p>
    <w:p w14:paraId="7BF077B0" w14:textId="77777777" w:rsidR="007E0116" w:rsidRPr="00F54533" w:rsidRDefault="007E0116" w:rsidP="007E0116">
      <w:pPr>
        <w:pStyle w:val="NormalHanging12a"/>
      </w:pPr>
      <w:r w:rsidRPr="00F54533">
        <w:t>2.</w:t>
      </w:r>
      <w:r w:rsidRPr="00F54533">
        <w:tab/>
        <w:t>констатира, че актът е приет в съответствие с позицията на Съвета;</w:t>
      </w:r>
    </w:p>
    <w:p w14:paraId="532C8DF4" w14:textId="77777777" w:rsidR="007E0116" w:rsidRPr="00F54533" w:rsidRDefault="007E0116" w:rsidP="007E0116">
      <w:pPr>
        <w:pStyle w:val="NormalHanging12a"/>
      </w:pPr>
      <w:r w:rsidRPr="00F54533">
        <w:t>3.</w:t>
      </w:r>
      <w:r w:rsidRPr="00F54533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6F4E9C95" w14:textId="77777777" w:rsidR="007E0116" w:rsidRPr="00F54533" w:rsidRDefault="007E0116" w:rsidP="007E0116">
      <w:pPr>
        <w:pStyle w:val="NormalHanging12a"/>
      </w:pPr>
      <w:r w:rsidRPr="00F54533">
        <w:t>4.</w:t>
      </w:r>
      <w:r w:rsidRPr="00F54533">
        <w:tab/>
        <w:t xml:space="preserve">възлага на своя генерален секретар да подпише акта, след като е направена проверка за надлежното изпълнение на всички процедури, и съвместно с генералния секретар на Съвета да пристъпи към публикуването му в </w:t>
      </w:r>
      <w:r w:rsidRPr="00BA2C5A">
        <w:rPr>
          <w:i/>
          <w:iCs/>
        </w:rPr>
        <w:t>Официален вестник на Европейския съюз</w:t>
      </w:r>
      <w:r w:rsidRPr="00F54533">
        <w:t>;</w:t>
      </w:r>
    </w:p>
    <w:p w14:paraId="35DA0341" w14:textId="6652E98D" w:rsidR="00F54533" w:rsidRPr="00F54533" w:rsidRDefault="007E0116" w:rsidP="00F54533">
      <w:pPr>
        <w:pStyle w:val="NormalHanging12a"/>
      </w:pPr>
      <w:r w:rsidRPr="00F54533">
        <w:t>5.</w:t>
      </w:r>
      <w:r w:rsidRPr="00F5453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608E0A2D" w14:textId="543A9100" w:rsidR="00E365E1" w:rsidRPr="00F54533" w:rsidRDefault="00E365E1" w:rsidP="00E960AC"/>
    <w:sectPr w:rsidR="00E365E1" w:rsidRPr="00F54533" w:rsidSect="00F545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03B91" w14:textId="77777777" w:rsidR="00E960AC" w:rsidRPr="00F54533" w:rsidRDefault="00E960AC">
      <w:r w:rsidRPr="00F54533">
        <w:separator/>
      </w:r>
    </w:p>
  </w:endnote>
  <w:endnote w:type="continuationSeparator" w:id="0">
    <w:p w14:paraId="310D172A" w14:textId="77777777" w:rsidR="00E960AC" w:rsidRPr="00F54533" w:rsidRDefault="00E960AC">
      <w:r w:rsidRPr="00F545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8E826" w14:textId="77777777" w:rsidR="00064002" w:rsidRPr="00F545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86687" w14:textId="77777777" w:rsidR="00064002" w:rsidRPr="00F545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95934" w14:textId="77777777" w:rsidR="00064002" w:rsidRPr="00F545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B5913" w14:textId="77777777" w:rsidR="00E960AC" w:rsidRPr="00F54533" w:rsidRDefault="00E960AC">
      <w:r w:rsidRPr="00F54533">
        <w:separator/>
      </w:r>
    </w:p>
  </w:footnote>
  <w:footnote w:type="continuationSeparator" w:id="0">
    <w:p w14:paraId="640EB89D" w14:textId="77777777" w:rsidR="00E960AC" w:rsidRPr="00F54533" w:rsidRDefault="00E960AC">
      <w:r w:rsidRPr="00F54533">
        <w:continuationSeparator/>
      </w:r>
    </w:p>
  </w:footnote>
  <w:footnote w:id="1">
    <w:p w14:paraId="45687217" w14:textId="5C9756FB" w:rsidR="007E0116" w:rsidRPr="00F54533" w:rsidRDefault="007E0116" w:rsidP="00F54533">
      <w:pPr>
        <w:pStyle w:val="FootnoteText"/>
        <w:ind w:left="567" w:hanging="567"/>
        <w:rPr>
          <w:sz w:val="24"/>
          <w:lang w:val="bg-BG"/>
        </w:rPr>
      </w:pPr>
      <w:r w:rsidRPr="00F54533">
        <w:rPr>
          <w:rStyle w:val="FootnoteReference"/>
          <w:sz w:val="24"/>
          <w:lang w:val="bg-BG"/>
        </w:rPr>
        <w:footnoteRef/>
      </w:r>
      <w:r w:rsidR="00F54533" w:rsidRPr="00F54533">
        <w:rPr>
          <w:sz w:val="24"/>
          <w:lang w:val="bg-BG"/>
        </w:rPr>
        <w:t xml:space="preserve"> </w:t>
      </w:r>
      <w:r w:rsidR="00F54533" w:rsidRPr="00F54533">
        <w:rPr>
          <w:sz w:val="24"/>
          <w:lang w:val="bg-BG"/>
        </w:rPr>
        <w:tab/>
      </w:r>
      <w:r w:rsidRPr="00F54533">
        <w:rPr>
          <w:sz w:val="24"/>
          <w:lang w:val="bg-BG"/>
        </w:rPr>
        <w:t xml:space="preserve">ОВ C, </w:t>
      </w:r>
      <w:r w:rsidR="0018357E" w:rsidRPr="00BA2C5A">
        <w:rPr>
          <w:sz w:val="24"/>
          <w:lang w:val="pl-PL"/>
        </w:rPr>
        <w:t>C/</w:t>
      </w:r>
      <w:r w:rsidRPr="00F54533">
        <w:rPr>
          <w:sz w:val="24"/>
          <w:lang w:val="bg-BG"/>
        </w:rPr>
        <w:t xml:space="preserve">2024/5048, 16.8.2024 г., ELI: </w:t>
      </w:r>
      <w:hyperlink r:id="rId1" w:tgtFrame="_blank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F54533">
          <w:rPr>
            <w:rStyle w:val="Hyperlink"/>
            <w:sz w:val="24"/>
            <w:lang w:val="bg-BG"/>
          </w:rPr>
          <w:t>http://data.europa.eu/eli/C/2024/5048/oj</w:t>
        </w:r>
      </w:hyperlink>
      <w:r w:rsidRPr="00F54533">
        <w:rPr>
          <w:sz w:val="24"/>
          <w:lang w:val="bg-BG"/>
        </w:rPr>
        <w:t>.</w:t>
      </w:r>
    </w:p>
  </w:footnote>
  <w:footnote w:id="2">
    <w:p w14:paraId="52EDB0F3" w14:textId="34F0CF66" w:rsidR="007E0116" w:rsidRPr="00F54533" w:rsidRDefault="007E0116" w:rsidP="00F54533">
      <w:pPr>
        <w:pStyle w:val="FootnoteText"/>
        <w:ind w:left="567" w:hanging="567"/>
        <w:rPr>
          <w:sz w:val="24"/>
          <w:lang w:val="bg-BG"/>
        </w:rPr>
      </w:pPr>
      <w:r w:rsidRPr="00F54533">
        <w:rPr>
          <w:rStyle w:val="FootnoteReference"/>
          <w:sz w:val="24"/>
          <w:lang w:val="bg-BG"/>
        </w:rPr>
        <w:footnoteRef/>
      </w:r>
      <w:r w:rsidR="00F54533" w:rsidRPr="00F54533">
        <w:rPr>
          <w:sz w:val="24"/>
          <w:lang w:val="bg-BG"/>
        </w:rPr>
        <w:t xml:space="preserve"> </w:t>
      </w:r>
      <w:r w:rsidR="00F54533" w:rsidRPr="00F54533">
        <w:rPr>
          <w:sz w:val="24"/>
          <w:lang w:val="bg-BG"/>
        </w:rPr>
        <w:tab/>
      </w:r>
      <w:r w:rsidRPr="00F54533">
        <w:rPr>
          <w:sz w:val="24"/>
          <w:lang w:val="bg-BG"/>
        </w:rPr>
        <w:t xml:space="preserve">ОВ C, </w:t>
      </w:r>
      <w:r w:rsidR="0018357E" w:rsidRPr="00BA2C5A">
        <w:rPr>
          <w:sz w:val="24"/>
          <w:lang w:val="pl-PL"/>
        </w:rPr>
        <w:t>C/</w:t>
      </w:r>
      <w:r w:rsidRPr="00F54533">
        <w:rPr>
          <w:sz w:val="24"/>
          <w:lang w:val="bg-BG"/>
        </w:rPr>
        <w:t xml:space="preserve">2024/2485, 23.4.2024 г., ELI: </w:t>
      </w:r>
      <w:hyperlink r:id="rId2" w:history="1">
        <w:r w:rsidRPr="00F54533">
          <w:rPr>
            <w:rStyle w:val="Hyperlink"/>
            <w:sz w:val="24"/>
            <w:lang w:val="bg-BG"/>
          </w:rPr>
          <w:t>http://data.europa.eu/eli/C/2024/2485/oj</w:t>
        </w:r>
      </w:hyperlink>
      <w:r w:rsidRPr="00F54533">
        <w:rPr>
          <w:sz w:val="24"/>
          <w:lang w:val="bg-BG"/>
        </w:rPr>
        <w:t>.</w:t>
      </w:r>
    </w:p>
  </w:footnote>
  <w:footnote w:id="3">
    <w:p w14:paraId="03AA36E5" w14:textId="23624BE1" w:rsidR="007E0116" w:rsidRPr="00F54533" w:rsidRDefault="007E0116" w:rsidP="00F54533">
      <w:pPr>
        <w:pStyle w:val="FootnoteText"/>
        <w:ind w:left="567" w:hanging="567"/>
        <w:rPr>
          <w:sz w:val="24"/>
          <w:lang w:val="bg-BG"/>
        </w:rPr>
      </w:pPr>
      <w:r w:rsidRPr="00F54533">
        <w:rPr>
          <w:rStyle w:val="FootnoteReference"/>
          <w:sz w:val="24"/>
          <w:lang w:val="bg-BG"/>
        </w:rPr>
        <w:footnoteRef/>
      </w:r>
      <w:r w:rsidR="00F54533" w:rsidRPr="00F54533">
        <w:rPr>
          <w:sz w:val="24"/>
          <w:lang w:val="bg-BG"/>
        </w:rPr>
        <w:t xml:space="preserve"> </w:t>
      </w:r>
      <w:r w:rsidR="00F54533" w:rsidRPr="00F54533">
        <w:rPr>
          <w:sz w:val="24"/>
          <w:lang w:val="bg-BG"/>
        </w:rPr>
        <w:tab/>
      </w:r>
      <w:r w:rsidR="001307A4" w:rsidRPr="00BA2C5A">
        <w:rPr>
          <w:sz w:val="24"/>
          <w:lang w:val="pl-PL"/>
        </w:rPr>
        <w:t>O</w:t>
      </w:r>
      <w:r w:rsidR="001307A4">
        <w:rPr>
          <w:sz w:val="24"/>
          <w:lang w:val="bg-BG"/>
        </w:rPr>
        <w:t>В</w:t>
      </w:r>
      <w:r w:rsidR="001307A4" w:rsidRPr="00BA2C5A">
        <w:rPr>
          <w:sz w:val="24"/>
          <w:lang w:val="pl-PL"/>
        </w:rPr>
        <w:t xml:space="preserve"> C, C/2025/1021, </w:t>
      </w:r>
      <w:proofErr w:type="gramStart"/>
      <w:r w:rsidR="001307A4" w:rsidRPr="00BA2C5A">
        <w:rPr>
          <w:sz w:val="24"/>
          <w:lang w:val="pl-PL"/>
        </w:rPr>
        <w:t>27.2.2025</w:t>
      </w:r>
      <w:proofErr w:type="gramEnd"/>
      <w:r w:rsidR="001307A4">
        <w:rPr>
          <w:sz w:val="24"/>
          <w:lang w:val="bg-BG"/>
        </w:rPr>
        <w:t> г.</w:t>
      </w:r>
      <w:r w:rsidR="001307A4" w:rsidRPr="00BA2C5A">
        <w:rPr>
          <w:sz w:val="24"/>
          <w:lang w:val="pl-PL"/>
        </w:rPr>
        <w:t>, ELI: </w:t>
      </w:r>
      <w:hyperlink r:id="rId3" w:tgtFrame="_blank" w:tooltip="Gives access to this document through its ELI URI." w:history="1">
        <w:r w:rsidR="001307A4" w:rsidRPr="00BA2C5A">
          <w:rPr>
            <w:rStyle w:val="Hyperlink"/>
            <w:sz w:val="24"/>
            <w:lang w:val="pl-PL"/>
          </w:rPr>
          <w:t>http://data.europa.eu/eli/C/2025/1021/oj</w:t>
        </w:r>
      </w:hyperlink>
      <w:r w:rsidRPr="00F54533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510C2" w14:textId="77777777" w:rsidR="00064002" w:rsidRPr="00F545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44417" w14:textId="77777777" w:rsidR="00064002" w:rsidRPr="00F545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B22C6" w14:textId="77777777" w:rsidR="00064002" w:rsidRPr="00F545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37729293">
    <w:abstractNumId w:val="9"/>
  </w:num>
  <w:num w:numId="2" w16cid:durableId="1650016022">
    <w:abstractNumId w:val="9"/>
  </w:num>
  <w:num w:numId="3" w16cid:durableId="1286887171">
    <w:abstractNumId w:val="7"/>
  </w:num>
  <w:num w:numId="4" w16cid:durableId="2079864695">
    <w:abstractNumId w:val="7"/>
  </w:num>
  <w:num w:numId="5" w16cid:durableId="1800803097">
    <w:abstractNumId w:val="6"/>
  </w:num>
  <w:num w:numId="6" w16cid:durableId="1495879412">
    <w:abstractNumId w:val="6"/>
  </w:num>
  <w:num w:numId="7" w16cid:durableId="669135785">
    <w:abstractNumId w:val="5"/>
  </w:num>
  <w:num w:numId="8" w16cid:durableId="817693307">
    <w:abstractNumId w:val="5"/>
  </w:num>
  <w:num w:numId="9" w16cid:durableId="520632502">
    <w:abstractNumId w:val="4"/>
  </w:num>
  <w:num w:numId="10" w16cid:durableId="1591042560">
    <w:abstractNumId w:val="4"/>
  </w:num>
  <w:num w:numId="11" w16cid:durableId="1186093758">
    <w:abstractNumId w:val="8"/>
  </w:num>
  <w:num w:numId="12" w16cid:durableId="1173493194">
    <w:abstractNumId w:val="8"/>
  </w:num>
  <w:num w:numId="13" w16cid:durableId="778454650">
    <w:abstractNumId w:val="3"/>
  </w:num>
  <w:num w:numId="14" w16cid:durableId="1569916870">
    <w:abstractNumId w:val="3"/>
  </w:num>
  <w:num w:numId="15" w16cid:durableId="294796661">
    <w:abstractNumId w:val="2"/>
  </w:num>
  <w:num w:numId="16" w16cid:durableId="1629817076">
    <w:abstractNumId w:val="2"/>
  </w:num>
  <w:num w:numId="17" w16cid:durableId="851846676">
    <w:abstractNumId w:val="1"/>
  </w:num>
  <w:num w:numId="18" w16cid:durableId="1754857939">
    <w:abstractNumId w:val="1"/>
  </w:num>
  <w:num w:numId="19" w16cid:durableId="700400817">
    <w:abstractNumId w:val="0"/>
  </w:num>
  <w:num w:numId="20" w16cid:durableId="2028020374">
    <w:abstractNumId w:val="0"/>
  </w:num>
  <w:num w:numId="21" w16cid:durableId="2015379353">
    <w:abstractNumId w:val="9"/>
  </w:num>
  <w:num w:numId="22" w16cid:durableId="1777142284">
    <w:abstractNumId w:val="7"/>
  </w:num>
  <w:num w:numId="23" w16cid:durableId="788476573">
    <w:abstractNumId w:val="6"/>
  </w:num>
  <w:num w:numId="24" w16cid:durableId="1462768318">
    <w:abstractNumId w:val="5"/>
  </w:num>
  <w:num w:numId="25" w16cid:durableId="283586873">
    <w:abstractNumId w:val="4"/>
  </w:num>
  <w:num w:numId="26" w16cid:durableId="211238206">
    <w:abstractNumId w:val="8"/>
  </w:num>
  <w:num w:numId="27" w16cid:durableId="1251623540">
    <w:abstractNumId w:val="3"/>
  </w:num>
  <w:num w:numId="28" w16cid:durableId="1260989962">
    <w:abstractNumId w:val="2"/>
  </w:num>
  <w:num w:numId="29" w16cid:durableId="673648465">
    <w:abstractNumId w:val="1"/>
  </w:num>
  <w:num w:numId="30" w16cid:durableId="1256088506">
    <w:abstractNumId w:val="0"/>
  </w:num>
  <w:num w:numId="31" w16cid:durableId="1625849165">
    <w:abstractNumId w:val="9"/>
  </w:num>
  <w:num w:numId="32" w16cid:durableId="1656758881">
    <w:abstractNumId w:val="7"/>
  </w:num>
  <w:num w:numId="33" w16cid:durableId="1572546075">
    <w:abstractNumId w:val="6"/>
  </w:num>
  <w:num w:numId="34" w16cid:durableId="167868054">
    <w:abstractNumId w:val="5"/>
  </w:num>
  <w:num w:numId="35" w16cid:durableId="679503200">
    <w:abstractNumId w:val="4"/>
  </w:num>
  <w:num w:numId="36" w16cid:durableId="945114449">
    <w:abstractNumId w:val="8"/>
  </w:num>
  <w:num w:numId="37" w16cid:durableId="724377485">
    <w:abstractNumId w:val="3"/>
  </w:num>
  <w:num w:numId="38" w16cid:durableId="2120104378">
    <w:abstractNumId w:val="2"/>
  </w:num>
  <w:num w:numId="39" w16cid:durableId="2142112305">
    <w:abstractNumId w:val="1"/>
  </w:num>
  <w:num w:numId="40" w16cid:durableId="720906568">
    <w:abstractNumId w:val="0"/>
  </w:num>
  <w:num w:numId="41" w16cid:durableId="644773363">
    <w:abstractNumId w:val="10"/>
  </w:num>
  <w:num w:numId="42" w16cid:durableId="1780026192">
    <w:abstractNumId w:val="10"/>
  </w:num>
  <w:num w:numId="43" w16cid:durableId="1015959276">
    <w:abstractNumId w:val="10"/>
  </w:num>
  <w:num w:numId="44" w16cid:durableId="14389854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BG"/>
    <w:docVar w:name="dvnumam" w:val="0"/>
    <w:docVar w:name="dvpe" w:val="777.025"/>
    <w:docVar w:name="dvrapporteur" w:val="Докладчик: "/>
    <w:docVar w:name="dvstar" w:val="***II"/>
    <w:docVar w:name="dvtitre" w:val="Законодателна резолюция на Европейския парламент от ... 2025 г. относно позицията на Съвета на първо четене с оглед на приемането на РЕГЛАМЕНТ НА ЕВРОПЕЙСКИЯ ПАРЛАМЕНТ И НА СЪВЕТА за изменение на регламенти (ЕС) № 1092/2010, (ЕС) № 1093/2010, (ЕС) № 1094/2010, (ЕС) № 1095/2010, (ЕС) № 806/2014, (ЕС) 2021/523 и (ЕС) 2024/1620 по отношение на някои изисквания за докладване в областта на финансовите услуги и подкрепата за инвестициите(07377/1/2025 – C10-0196/2025 – 2023/0363(COD))"/>
  </w:docVars>
  <w:rsids>
    <w:rsidRoot w:val="00E960AC"/>
    <w:rsid w:val="00002272"/>
    <w:rsid w:val="00064002"/>
    <w:rsid w:val="000677B9"/>
    <w:rsid w:val="000831BA"/>
    <w:rsid w:val="000A42CC"/>
    <w:rsid w:val="000E7DD9"/>
    <w:rsid w:val="0010095E"/>
    <w:rsid w:val="00105C5B"/>
    <w:rsid w:val="00125B37"/>
    <w:rsid w:val="001307A4"/>
    <w:rsid w:val="0018357E"/>
    <w:rsid w:val="00187494"/>
    <w:rsid w:val="001F32AE"/>
    <w:rsid w:val="002767FF"/>
    <w:rsid w:val="002B18FE"/>
    <w:rsid w:val="002B5493"/>
    <w:rsid w:val="002E6406"/>
    <w:rsid w:val="00343214"/>
    <w:rsid w:val="00350642"/>
    <w:rsid w:val="00361C00"/>
    <w:rsid w:val="00395FA1"/>
    <w:rsid w:val="003E15D4"/>
    <w:rsid w:val="00411CCE"/>
    <w:rsid w:val="0041666E"/>
    <w:rsid w:val="00421060"/>
    <w:rsid w:val="00425BE9"/>
    <w:rsid w:val="00471C19"/>
    <w:rsid w:val="004867E3"/>
    <w:rsid w:val="00494A28"/>
    <w:rsid w:val="004C0004"/>
    <w:rsid w:val="004C5D52"/>
    <w:rsid w:val="004C5F5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116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001"/>
    <w:rsid w:val="00AB441E"/>
    <w:rsid w:val="00AB6293"/>
    <w:rsid w:val="00AE0928"/>
    <w:rsid w:val="00AF3B82"/>
    <w:rsid w:val="00B12E95"/>
    <w:rsid w:val="00B22876"/>
    <w:rsid w:val="00B558F0"/>
    <w:rsid w:val="00BA2C5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03D"/>
    <w:rsid w:val="00D56C11"/>
    <w:rsid w:val="00D834A0"/>
    <w:rsid w:val="00D872DF"/>
    <w:rsid w:val="00D91E21"/>
    <w:rsid w:val="00DA7FCD"/>
    <w:rsid w:val="00E365E1"/>
    <w:rsid w:val="00E820A4"/>
    <w:rsid w:val="00E960AC"/>
    <w:rsid w:val="00EB006A"/>
    <w:rsid w:val="00EB4772"/>
    <w:rsid w:val="00ED169E"/>
    <w:rsid w:val="00ED4235"/>
    <w:rsid w:val="00F04346"/>
    <w:rsid w:val="00F075DC"/>
    <w:rsid w:val="00F149E9"/>
    <w:rsid w:val="00F5134D"/>
    <w:rsid w:val="00F5453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3D397"/>
  <w15:chartTrackingRefBased/>
  <w15:docId w15:val="{8A0E26EF-763F-4F24-AEA3-8E3B2D78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E0116"/>
    <w:pPr>
      <w:spacing w:before="480" w:after="240"/>
    </w:pPr>
  </w:style>
  <w:style w:type="paragraph" w:customStyle="1" w:styleId="NormalBold">
    <w:name w:val="NormalBold"/>
    <w:basedOn w:val="Normal"/>
    <w:rsid w:val="007E0116"/>
    <w:rPr>
      <w:b/>
    </w:rPr>
  </w:style>
  <w:style w:type="paragraph" w:customStyle="1" w:styleId="NormalHanging12a">
    <w:name w:val="NormalHanging12a"/>
    <w:basedOn w:val="Normal"/>
    <w:rsid w:val="007E0116"/>
    <w:pPr>
      <w:spacing w:after="240"/>
      <w:ind w:left="567" w:hanging="567"/>
    </w:pPr>
  </w:style>
  <w:style w:type="character" w:styleId="Hyperlink">
    <w:name w:val="Hyperlink"/>
    <w:basedOn w:val="DefaultParagraphFont"/>
    <w:rsid w:val="007E011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307A4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2025-12-15T13:57:00Z</dcterms:created>
  <dcterms:modified xsi:type="dcterms:W3CDTF">2025-12-15T13:57:00Z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