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59D8" w14:paraId="4C1EBA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86258C" w14:textId="77777777" w:rsidR="00751A4A" w:rsidRPr="004159D8" w:rsidRDefault="00536666" w:rsidP="0010095E">
            <w:pPr>
              <w:pStyle w:val="EPName"/>
            </w:pPr>
            <w:r w:rsidRPr="004159D8">
              <w:t>Europski parlament</w:t>
            </w:r>
          </w:p>
          <w:p w14:paraId="4C5B1931" w14:textId="77777777" w:rsidR="00751A4A" w:rsidRPr="004159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59D8">
              <w:t>2024</w:t>
            </w:r>
            <w:r w:rsidR="00817416" w:rsidRPr="004159D8">
              <w:t>-202</w:t>
            </w:r>
            <w:r w:rsidRPr="004159D8">
              <w:t>9</w:t>
            </w:r>
          </w:p>
        </w:tc>
        <w:tc>
          <w:tcPr>
            <w:tcW w:w="2268" w:type="dxa"/>
            <w:shd w:val="clear" w:color="auto" w:fill="auto"/>
          </w:tcPr>
          <w:p w14:paraId="5DE24284" w14:textId="77777777" w:rsidR="00751A4A" w:rsidRPr="004159D8" w:rsidRDefault="00187494" w:rsidP="0010095E">
            <w:pPr>
              <w:pStyle w:val="EPLogo"/>
            </w:pPr>
            <w:r w:rsidRPr="004159D8">
              <w:rPr>
                <w:noProof/>
                <w:lang w:eastAsia="ja-JP"/>
              </w:rPr>
              <w:drawing>
                <wp:inline distT="0" distB="0" distL="0" distR="0" wp14:anchorId="3EEAAF03" wp14:editId="4C48D7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057A7" w14:textId="77777777" w:rsidR="00D058B8" w:rsidRPr="004159D8" w:rsidRDefault="00D058B8" w:rsidP="004C5D52">
      <w:pPr>
        <w:pStyle w:val="LineTop"/>
      </w:pPr>
    </w:p>
    <w:p w14:paraId="268F81A7" w14:textId="77777777" w:rsidR="00680577" w:rsidRPr="004159D8" w:rsidRDefault="00536666" w:rsidP="00680577">
      <w:pPr>
        <w:pStyle w:val="EPBodyTA1"/>
      </w:pPr>
      <w:r w:rsidRPr="004159D8">
        <w:t>USVOJENI TEKSTOVI</w:t>
      </w:r>
    </w:p>
    <w:p w14:paraId="6A6DB14B" w14:textId="77777777" w:rsidR="00D058B8" w:rsidRPr="004159D8" w:rsidRDefault="00D058B8" w:rsidP="00D058B8">
      <w:pPr>
        <w:pStyle w:val="LineBottom"/>
      </w:pPr>
    </w:p>
    <w:p w14:paraId="0D376AFB" w14:textId="1F5C3B39" w:rsidR="00536666" w:rsidRPr="004159D8" w:rsidRDefault="00536666" w:rsidP="00536666">
      <w:pPr>
        <w:pStyle w:val="ATHeading1"/>
      </w:pPr>
      <w:bookmarkStart w:id="0" w:name="TANumber"/>
      <w:r w:rsidRPr="004159D8">
        <w:t>P10_TA(2025)0</w:t>
      </w:r>
      <w:r w:rsidR="004D2F00">
        <w:t>208</w:t>
      </w:r>
      <w:bookmarkEnd w:id="0"/>
    </w:p>
    <w:p w14:paraId="220FE5C5" w14:textId="77777777" w:rsidR="00536666" w:rsidRPr="004159D8" w:rsidRDefault="00536666" w:rsidP="00536666">
      <w:pPr>
        <w:pStyle w:val="ATHeading2"/>
      </w:pPr>
      <w:bookmarkStart w:id="1" w:name="title"/>
      <w:r w:rsidRPr="004159D8">
        <w:t>Izmjena određenih uredaba o financijskim uslugama i potpori ulaganjima u pogledu određenih zahtjeva o izvješćivanju</w:t>
      </w:r>
      <w:bookmarkEnd w:id="1"/>
    </w:p>
    <w:p w14:paraId="56EE6E16" w14:textId="77777777" w:rsidR="00536666" w:rsidRPr="004159D8" w:rsidRDefault="00536666" w:rsidP="00536666">
      <w:pPr>
        <w:rPr>
          <w:i/>
          <w:vanish/>
        </w:rPr>
      </w:pPr>
      <w:r w:rsidRPr="004159D8">
        <w:rPr>
          <w:i/>
        </w:rPr>
        <w:fldChar w:fldCharType="begin"/>
      </w:r>
      <w:r w:rsidRPr="004159D8">
        <w:rPr>
          <w:i/>
        </w:rPr>
        <w:instrText xml:space="preserve"> TC"(</w:instrText>
      </w:r>
      <w:bookmarkStart w:id="2" w:name="DocNumber"/>
      <w:r w:rsidRPr="004159D8">
        <w:rPr>
          <w:i/>
        </w:rPr>
        <w:instrText>A10-0166/2025</w:instrText>
      </w:r>
      <w:bookmarkEnd w:id="2"/>
      <w:r w:rsidRPr="004159D8">
        <w:rPr>
          <w:i/>
        </w:rPr>
        <w:instrText xml:space="preserve"> - Izvjestitelj: Paulius Saudargas)"\l3 \n&gt; \* MERGEFORMAT </w:instrText>
      </w:r>
      <w:r w:rsidRPr="004159D8">
        <w:rPr>
          <w:i/>
        </w:rPr>
        <w:fldChar w:fldCharType="end"/>
      </w:r>
    </w:p>
    <w:p w14:paraId="140232B0" w14:textId="77777777" w:rsidR="00536666" w:rsidRPr="004159D8" w:rsidRDefault="00536666" w:rsidP="00536666">
      <w:pPr>
        <w:rPr>
          <w:vanish/>
        </w:rPr>
      </w:pPr>
      <w:bookmarkStart w:id="3" w:name="Commission"/>
      <w:r w:rsidRPr="004159D8">
        <w:rPr>
          <w:vanish/>
        </w:rPr>
        <w:t>Odbor za ekonomsku i monetarnu politiku</w:t>
      </w:r>
      <w:bookmarkEnd w:id="3"/>
    </w:p>
    <w:p w14:paraId="335F449C" w14:textId="77777777" w:rsidR="00536666" w:rsidRPr="004159D8" w:rsidRDefault="00536666" w:rsidP="00536666">
      <w:pPr>
        <w:rPr>
          <w:vanish/>
        </w:rPr>
      </w:pPr>
      <w:bookmarkStart w:id="4" w:name="PE"/>
      <w:r w:rsidRPr="004159D8">
        <w:rPr>
          <w:vanish/>
        </w:rPr>
        <w:t>PE777.025</w:t>
      </w:r>
      <w:bookmarkEnd w:id="4"/>
    </w:p>
    <w:p w14:paraId="68D7D0C3" w14:textId="3C4FF92B" w:rsidR="00536666" w:rsidRPr="004159D8" w:rsidRDefault="00536666" w:rsidP="00536666">
      <w:pPr>
        <w:pStyle w:val="ATHeading3"/>
      </w:pPr>
      <w:bookmarkStart w:id="5" w:name="Sujet"/>
      <w:r w:rsidRPr="004159D8">
        <w:t xml:space="preserve">Zakonodavna rezolucija Europskog parlamenta od </w:t>
      </w:r>
      <w:r w:rsidR="00463EB9">
        <w:t>7</w:t>
      </w:r>
      <w:r w:rsidRPr="004159D8">
        <w:t xml:space="preserve">. </w:t>
      </w:r>
      <w:r w:rsidR="004159D8">
        <w:t xml:space="preserve">listopada </w:t>
      </w:r>
      <w:r w:rsidRPr="004159D8">
        <w:t>2025. o stajalištu Vijeća u prvom čitanju s ciljem donošenja Uredbe Europskog parlamenta i Vijeća o izmjeni uredaba (EU) br. 1092/2010, (EU) br. 1093/2010, (EU) br. 1094/2010, (EU) br. 1095/2010, (EU) br. 806/2014, (EU) 2021/523 i (EU) 2024/1620 u pogledu određenih zahtjeva o izvješćivanju u području financijskih usluga i potpore ulaganjima</w:t>
      </w:r>
      <w:bookmarkEnd w:id="5"/>
      <w:r w:rsidRPr="004159D8">
        <w:t xml:space="preserve"> </w:t>
      </w:r>
      <w:bookmarkStart w:id="6" w:name="References"/>
      <w:r w:rsidRPr="004159D8">
        <w:t>(07377/1/2025 – C10-0196/2025 – 2023/0363(COD))</w:t>
      </w:r>
      <w:bookmarkEnd w:id="6"/>
    </w:p>
    <w:p w14:paraId="710AA8A9" w14:textId="77777777" w:rsidR="005829F1" w:rsidRPr="004159D8" w:rsidRDefault="005829F1" w:rsidP="005829F1">
      <w:pPr>
        <w:pStyle w:val="NormalBold"/>
      </w:pPr>
      <w:r w:rsidRPr="004159D8">
        <w:t>(Redovni zakonodavni postupak: drugo čitanje)</w:t>
      </w:r>
    </w:p>
    <w:p w14:paraId="40F5453B" w14:textId="77777777" w:rsidR="005829F1" w:rsidRPr="004159D8" w:rsidRDefault="005829F1" w:rsidP="005829F1">
      <w:pPr>
        <w:pStyle w:val="EPComma"/>
      </w:pPr>
      <w:r w:rsidRPr="004159D8">
        <w:rPr>
          <w:i/>
          <w:iCs/>
        </w:rPr>
        <w:t>Europski parlament</w:t>
      </w:r>
      <w:r w:rsidRPr="004159D8">
        <w:t>,</w:t>
      </w:r>
    </w:p>
    <w:p w14:paraId="1C6DC4F9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stajalište Vijeća u prvom čitanju (07377/1/2025 – C10</w:t>
      </w:r>
      <w:r w:rsidRPr="004159D8">
        <w:noBreakHyphen/>
        <w:t>0196/2025),</w:t>
      </w:r>
    </w:p>
    <w:p w14:paraId="3A2A4472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mišljenje Europske središnje banke od 21. lipnja 2024.</w:t>
      </w:r>
      <w:r w:rsidRPr="004159D8">
        <w:rPr>
          <w:rStyle w:val="FootnoteReference"/>
        </w:rPr>
        <w:footnoteReference w:id="1"/>
      </w:r>
      <w:r w:rsidRPr="004159D8">
        <w:t>,</w:t>
      </w:r>
    </w:p>
    <w:p w14:paraId="0290A7E7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mišljenje Europskoga gospodarskog i socijalnog odbora od 14. veljače 2024.</w:t>
      </w:r>
      <w:r w:rsidRPr="004159D8">
        <w:rPr>
          <w:rStyle w:val="FootnoteReference"/>
        </w:rPr>
        <w:footnoteReference w:id="2"/>
      </w:r>
      <w:r w:rsidRPr="004159D8">
        <w:t>,</w:t>
      </w:r>
    </w:p>
    <w:p w14:paraId="0285FE45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nakon savjetovanja s Odborom regija,</w:t>
      </w:r>
    </w:p>
    <w:p w14:paraId="69785D21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stajalište u prvom čitanju</w:t>
      </w:r>
      <w:r w:rsidRPr="004159D8">
        <w:rPr>
          <w:rStyle w:val="FootnoteReference"/>
        </w:rPr>
        <w:footnoteReference w:id="3"/>
      </w:r>
      <w:r w:rsidRPr="004159D8">
        <w:t xml:space="preserve"> o Prijedlogu Komisije upućenom Europskom parlamentu i Vijeću (COM(2023)0593),</w:t>
      </w:r>
    </w:p>
    <w:p w14:paraId="4999B770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članak 294. stavak 7. Ugovora o funkcioniranju Europske unije,</w:t>
      </w:r>
    </w:p>
    <w:p w14:paraId="291F30EF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privremeni sporazum koji je odobrio nadležni odbor u skladu s člankom 75. stavkom 4. Poslovnika,</w:t>
      </w:r>
    </w:p>
    <w:p w14:paraId="2CA51439" w14:textId="77777777" w:rsidR="005829F1" w:rsidRPr="004159D8" w:rsidRDefault="005829F1" w:rsidP="005829F1">
      <w:pPr>
        <w:pStyle w:val="NormalHanging12a"/>
      </w:pPr>
      <w:r w:rsidRPr="004159D8">
        <w:t>–</w:t>
      </w:r>
      <w:r w:rsidRPr="004159D8">
        <w:tab/>
        <w:t>uzimajući u obzir članak 68. Poslovnika,</w:t>
      </w:r>
    </w:p>
    <w:p w14:paraId="5405888D" w14:textId="77777777" w:rsidR="005829F1" w:rsidRPr="004159D8" w:rsidRDefault="005829F1" w:rsidP="005829F1">
      <w:pPr>
        <w:pStyle w:val="NormalHanging12a"/>
      </w:pPr>
      <w:r w:rsidRPr="004159D8">
        <w:lastRenderedPageBreak/>
        <w:t>–</w:t>
      </w:r>
      <w:r w:rsidRPr="004159D8">
        <w:tab/>
        <w:t>uzimajući u obzir preporuku za drugo čitanje Odbora za okoliš, klimu i sigurnost hrane (A10-0166/2025),</w:t>
      </w:r>
    </w:p>
    <w:p w14:paraId="73546BC0" w14:textId="77777777" w:rsidR="005829F1" w:rsidRPr="004159D8" w:rsidRDefault="005829F1" w:rsidP="005829F1">
      <w:pPr>
        <w:pStyle w:val="NormalHanging12a"/>
      </w:pPr>
      <w:r w:rsidRPr="004159D8">
        <w:t>1.</w:t>
      </w:r>
      <w:r w:rsidRPr="004159D8">
        <w:tab/>
        <w:t>prihvaća stajalište Vijeća u prvom čitanju;</w:t>
      </w:r>
    </w:p>
    <w:p w14:paraId="08B69F7C" w14:textId="77777777" w:rsidR="005829F1" w:rsidRPr="004159D8" w:rsidRDefault="005829F1" w:rsidP="005829F1">
      <w:pPr>
        <w:pStyle w:val="NormalHanging12a"/>
      </w:pPr>
      <w:r w:rsidRPr="004159D8">
        <w:t>2.</w:t>
      </w:r>
      <w:r w:rsidRPr="004159D8">
        <w:tab/>
        <w:t>utvrđuje da je akt usvojen u skladu sa stajalištem Vijeća;</w:t>
      </w:r>
    </w:p>
    <w:p w14:paraId="61111FE7" w14:textId="54C827EE" w:rsidR="005829F1" w:rsidRPr="004159D8" w:rsidRDefault="005829F1" w:rsidP="005829F1">
      <w:pPr>
        <w:pStyle w:val="NormalHanging12a"/>
      </w:pPr>
      <w:r w:rsidRPr="004159D8">
        <w:t>3.</w:t>
      </w:r>
      <w:r w:rsidRPr="004159D8">
        <w:tab/>
        <w:t xml:space="preserve">nalaže svojoj predsjednici da </w:t>
      </w:r>
      <w:r w:rsidR="004159D8">
        <w:t xml:space="preserve">potpiše akt s predsjednikom Vijeća </w:t>
      </w:r>
      <w:r w:rsidRPr="004159D8">
        <w:t>u skladu s člankom 297. stavkom 1. Ugovora o funkcioniraju Europske unije;</w:t>
      </w:r>
    </w:p>
    <w:p w14:paraId="6901C22C" w14:textId="77777777" w:rsidR="005829F1" w:rsidRPr="004159D8" w:rsidRDefault="005829F1" w:rsidP="005829F1">
      <w:pPr>
        <w:pStyle w:val="NormalHanging12a"/>
      </w:pPr>
      <w:r w:rsidRPr="004159D8">
        <w:t>4.</w:t>
      </w:r>
      <w:r w:rsidRPr="004159D8">
        <w:tab/>
        <w:t xml:space="preserve">nalaže svojem glavnom tajniku da potpiše akt nakon provjere jesu li svi postupci propisno zaključeni te da ga u dogovoru s glavnim tajnikom Vijeća da na objavu u </w:t>
      </w:r>
      <w:r w:rsidRPr="004159D8">
        <w:rPr>
          <w:i/>
          <w:iCs/>
        </w:rPr>
        <w:t>Službenom listu Europske unije</w:t>
      </w:r>
      <w:r w:rsidRPr="004159D8">
        <w:t>;</w:t>
      </w:r>
    </w:p>
    <w:p w14:paraId="03830959" w14:textId="5BF86263" w:rsidR="00CE434A" w:rsidRPr="004159D8" w:rsidRDefault="005829F1" w:rsidP="00CE434A">
      <w:pPr>
        <w:pStyle w:val="NormalHanging12a"/>
      </w:pPr>
      <w:r w:rsidRPr="004159D8">
        <w:t>5.</w:t>
      </w:r>
      <w:r w:rsidRPr="004159D8">
        <w:tab/>
        <w:t>nalaže svojoj predsjednici da stajalište Parlamenta proslijedi Vijeću, Komisiji i nacionalnim parlamentima.</w:t>
      </w:r>
    </w:p>
    <w:p w14:paraId="315BDBA9" w14:textId="19E78B5B" w:rsidR="00E365E1" w:rsidRPr="004159D8" w:rsidRDefault="00E365E1" w:rsidP="00536666"/>
    <w:sectPr w:rsidR="00E365E1" w:rsidRPr="004159D8" w:rsidSect="00CE43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735CE" w14:textId="77777777" w:rsidR="00536666" w:rsidRPr="00CE434A" w:rsidRDefault="00536666">
      <w:r w:rsidRPr="00CE434A">
        <w:separator/>
      </w:r>
    </w:p>
  </w:endnote>
  <w:endnote w:type="continuationSeparator" w:id="0">
    <w:p w14:paraId="495D76F0" w14:textId="77777777" w:rsidR="00536666" w:rsidRPr="00CE434A" w:rsidRDefault="00536666">
      <w:r w:rsidRPr="00CE43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539C" w14:textId="77777777" w:rsidR="00064002" w:rsidRPr="00CE43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476E" w14:textId="77777777" w:rsidR="00064002" w:rsidRPr="00CE43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4858" w14:textId="77777777" w:rsidR="00064002" w:rsidRPr="00CE43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688D" w14:textId="77777777" w:rsidR="00536666" w:rsidRPr="00CE434A" w:rsidRDefault="00536666">
      <w:r w:rsidRPr="00CE434A">
        <w:separator/>
      </w:r>
    </w:p>
  </w:footnote>
  <w:footnote w:type="continuationSeparator" w:id="0">
    <w:p w14:paraId="32D10627" w14:textId="77777777" w:rsidR="00536666" w:rsidRPr="00CE434A" w:rsidRDefault="00536666">
      <w:r w:rsidRPr="00CE434A">
        <w:continuationSeparator/>
      </w:r>
    </w:p>
  </w:footnote>
  <w:footnote w:id="1">
    <w:p w14:paraId="0A843259" w14:textId="75E3BFAE" w:rsidR="005829F1" w:rsidRPr="00CE434A" w:rsidRDefault="005829F1" w:rsidP="00CE434A">
      <w:pPr>
        <w:pStyle w:val="FootnoteText"/>
        <w:ind w:left="567" w:hanging="567"/>
        <w:rPr>
          <w:sz w:val="24"/>
          <w:lang w:val="hr-HR"/>
        </w:rPr>
      </w:pPr>
      <w:r w:rsidRPr="00CE434A">
        <w:rPr>
          <w:rStyle w:val="FootnoteReference"/>
          <w:sz w:val="24"/>
          <w:lang w:val="hr-HR"/>
        </w:rPr>
        <w:footnoteRef/>
      </w:r>
      <w:r w:rsidR="00CE434A" w:rsidRPr="00CE434A">
        <w:rPr>
          <w:sz w:val="24"/>
          <w:lang w:val="hr-HR"/>
        </w:rPr>
        <w:t xml:space="preserve"> </w:t>
      </w:r>
      <w:r w:rsidR="00CE434A" w:rsidRPr="00CE434A">
        <w:rPr>
          <w:sz w:val="24"/>
          <w:lang w:val="hr-HR"/>
        </w:rPr>
        <w:tab/>
      </w:r>
      <w:r w:rsidRPr="00CE434A">
        <w:rPr>
          <w:sz w:val="24"/>
          <w:lang w:val="hr-HR"/>
        </w:rPr>
        <w:t xml:space="preserve">SL C, </w:t>
      </w:r>
      <w:r w:rsidR="00760251">
        <w:rPr>
          <w:sz w:val="24"/>
          <w:lang w:val="hr-HR"/>
        </w:rPr>
        <w:t>C/</w:t>
      </w:r>
      <w:r w:rsidRPr="00CE434A">
        <w:rPr>
          <w:sz w:val="24"/>
          <w:lang w:val="hr-HR"/>
        </w:rPr>
        <w:t xml:space="preserve">2024/5048, 16.8.2024., ELI: </w:t>
      </w:r>
      <w:hyperlink r:id="rId1" w:tgtFrame="_blank" w:tooltip="Omogućuje pristup tom dokumentu preko identifikatora ELI URI." w:history="1">
        <w:r w:rsidRPr="00CE434A">
          <w:rPr>
            <w:rStyle w:val="Hyperlink"/>
            <w:sz w:val="24"/>
            <w:lang w:val="hr-HR"/>
          </w:rPr>
          <w:t>http://data.europa.eu/eli/C/2024/5048/oj</w:t>
        </w:r>
      </w:hyperlink>
      <w:r w:rsidRPr="00CE434A">
        <w:rPr>
          <w:sz w:val="24"/>
          <w:lang w:val="hr-HR"/>
        </w:rPr>
        <w:t>.</w:t>
      </w:r>
    </w:p>
  </w:footnote>
  <w:footnote w:id="2">
    <w:p w14:paraId="0C8C347C" w14:textId="7ABDC933" w:rsidR="005829F1" w:rsidRPr="00CE434A" w:rsidRDefault="005829F1" w:rsidP="00CE434A">
      <w:pPr>
        <w:pStyle w:val="FootnoteText"/>
        <w:ind w:left="567" w:hanging="567"/>
        <w:rPr>
          <w:sz w:val="24"/>
          <w:lang w:val="hr-HR"/>
        </w:rPr>
      </w:pPr>
      <w:r w:rsidRPr="00CE434A">
        <w:rPr>
          <w:rStyle w:val="FootnoteReference"/>
          <w:sz w:val="24"/>
          <w:lang w:val="hr-HR"/>
        </w:rPr>
        <w:footnoteRef/>
      </w:r>
      <w:r w:rsidR="00CE434A" w:rsidRPr="00CE434A">
        <w:rPr>
          <w:sz w:val="24"/>
          <w:lang w:val="hr-HR"/>
        </w:rPr>
        <w:t xml:space="preserve"> </w:t>
      </w:r>
      <w:r w:rsidR="00CE434A" w:rsidRPr="00CE434A">
        <w:rPr>
          <w:sz w:val="24"/>
          <w:lang w:val="hr-HR"/>
        </w:rPr>
        <w:tab/>
      </w:r>
      <w:r w:rsidRPr="00CE434A">
        <w:rPr>
          <w:sz w:val="24"/>
          <w:lang w:val="hr-HR"/>
        </w:rPr>
        <w:t xml:space="preserve">SL C, </w:t>
      </w:r>
      <w:r w:rsidR="00760251">
        <w:rPr>
          <w:sz w:val="24"/>
          <w:lang w:val="hr-HR"/>
        </w:rPr>
        <w:t>C/</w:t>
      </w:r>
      <w:r w:rsidRPr="00CE434A">
        <w:rPr>
          <w:sz w:val="24"/>
          <w:lang w:val="hr-HR"/>
        </w:rPr>
        <w:t xml:space="preserve">2024/2485, 23.4.2024., ELI: </w:t>
      </w:r>
      <w:hyperlink r:id="rId2" w:history="1">
        <w:r w:rsidRPr="00CE434A">
          <w:rPr>
            <w:rStyle w:val="Hyperlink"/>
            <w:sz w:val="24"/>
            <w:lang w:val="hr-HR"/>
          </w:rPr>
          <w:t>http://data.europa.eu/eli/C/2024/2485/oj</w:t>
        </w:r>
      </w:hyperlink>
      <w:r w:rsidRPr="00CE434A">
        <w:rPr>
          <w:sz w:val="24"/>
          <w:lang w:val="hr-HR"/>
        </w:rPr>
        <w:t>.</w:t>
      </w:r>
    </w:p>
  </w:footnote>
  <w:footnote w:id="3">
    <w:p w14:paraId="79C63CB4" w14:textId="22585693" w:rsidR="005829F1" w:rsidRPr="00CE434A" w:rsidRDefault="005829F1" w:rsidP="00CE434A">
      <w:pPr>
        <w:pStyle w:val="FootnoteText"/>
        <w:ind w:left="567" w:hanging="567"/>
        <w:rPr>
          <w:sz w:val="24"/>
          <w:lang w:val="hr-HR"/>
        </w:rPr>
      </w:pPr>
      <w:r w:rsidRPr="00CE434A">
        <w:rPr>
          <w:rStyle w:val="FootnoteReference"/>
          <w:sz w:val="24"/>
          <w:lang w:val="hr-HR"/>
        </w:rPr>
        <w:footnoteRef/>
      </w:r>
      <w:r w:rsidR="00CE434A" w:rsidRPr="00CE434A">
        <w:rPr>
          <w:sz w:val="24"/>
          <w:lang w:val="hr-HR"/>
        </w:rPr>
        <w:t xml:space="preserve"> </w:t>
      </w:r>
      <w:r w:rsidR="00CE434A" w:rsidRPr="00CE434A">
        <w:rPr>
          <w:sz w:val="24"/>
          <w:lang w:val="hr-HR"/>
        </w:rPr>
        <w:tab/>
      </w:r>
      <w:r w:rsidR="004159D8" w:rsidRPr="004D2F00">
        <w:rPr>
          <w:sz w:val="24"/>
          <w:lang w:val="pl-PL"/>
        </w:rPr>
        <w:t>SL C, C/2025/1021, 27.2.2025., ELI: </w:t>
      </w:r>
      <w:hyperlink r:id="rId3" w:tgtFrame="_blank" w:tooltip="Gives access to this document through its ELI URI." w:history="1">
        <w:r w:rsidR="004159D8" w:rsidRPr="004D2F00">
          <w:rPr>
            <w:rStyle w:val="Hyperlink"/>
            <w:sz w:val="24"/>
            <w:lang w:val="pl-PL"/>
          </w:rPr>
          <w:t>http://data.europa.eu/eli/C/2025/1021/oj</w:t>
        </w:r>
      </w:hyperlink>
      <w:r w:rsidRPr="004159D8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C80CA" w14:textId="77777777" w:rsidR="00064002" w:rsidRPr="00CE43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6E87E" w14:textId="77777777" w:rsidR="00064002" w:rsidRPr="00CE43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B527E" w14:textId="77777777" w:rsidR="00064002" w:rsidRPr="00CE43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5707234">
    <w:abstractNumId w:val="9"/>
  </w:num>
  <w:num w:numId="2" w16cid:durableId="1042553542">
    <w:abstractNumId w:val="9"/>
  </w:num>
  <w:num w:numId="3" w16cid:durableId="1646229468">
    <w:abstractNumId w:val="7"/>
  </w:num>
  <w:num w:numId="4" w16cid:durableId="777220702">
    <w:abstractNumId w:val="7"/>
  </w:num>
  <w:num w:numId="5" w16cid:durableId="909118371">
    <w:abstractNumId w:val="6"/>
  </w:num>
  <w:num w:numId="6" w16cid:durableId="1409036287">
    <w:abstractNumId w:val="6"/>
  </w:num>
  <w:num w:numId="7" w16cid:durableId="921378503">
    <w:abstractNumId w:val="5"/>
  </w:num>
  <w:num w:numId="8" w16cid:durableId="966281293">
    <w:abstractNumId w:val="5"/>
  </w:num>
  <w:num w:numId="9" w16cid:durableId="373627324">
    <w:abstractNumId w:val="4"/>
  </w:num>
  <w:num w:numId="10" w16cid:durableId="1385450867">
    <w:abstractNumId w:val="4"/>
  </w:num>
  <w:num w:numId="11" w16cid:durableId="1572501726">
    <w:abstractNumId w:val="8"/>
  </w:num>
  <w:num w:numId="12" w16cid:durableId="2060518059">
    <w:abstractNumId w:val="8"/>
  </w:num>
  <w:num w:numId="13" w16cid:durableId="1914924927">
    <w:abstractNumId w:val="3"/>
  </w:num>
  <w:num w:numId="14" w16cid:durableId="1327512840">
    <w:abstractNumId w:val="3"/>
  </w:num>
  <w:num w:numId="15" w16cid:durableId="599871856">
    <w:abstractNumId w:val="2"/>
  </w:num>
  <w:num w:numId="16" w16cid:durableId="619846055">
    <w:abstractNumId w:val="2"/>
  </w:num>
  <w:num w:numId="17" w16cid:durableId="1398742265">
    <w:abstractNumId w:val="1"/>
  </w:num>
  <w:num w:numId="18" w16cid:durableId="1481538361">
    <w:abstractNumId w:val="1"/>
  </w:num>
  <w:num w:numId="19" w16cid:durableId="263223153">
    <w:abstractNumId w:val="0"/>
  </w:num>
  <w:num w:numId="20" w16cid:durableId="1826974515">
    <w:abstractNumId w:val="0"/>
  </w:num>
  <w:num w:numId="21" w16cid:durableId="700546221">
    <w:abstractNumId w:val="9"/>
  </w:num>
  <w:num w:numId="22" w16cid:durableId="1140882017">
    <w:abstractNumId w:val="7"/>
  </w:num>
  <w:num w:numId="23" w16cid:durableId="337268108">
    <w:abstractNumId w:val="6"/>
  </w:num>
  <w:num w:numId="24" w16cid:durableId="713624807">
    <w:abstractNumId w:val="5"/>
  </w:num>
  <w:num w:numId="25" w16cid:durableId="1785421295">
    <w:abstractNumId w:val="4"/>
  </w:num>
  <w:num w:numId="26" w16cid:durableId="422576149">
    <w:abstractNumId w:val="8"/>
  </w:num>
  <w:num w:numId="27" w16cid:durableId="1200822995">
    <w:abstractNumId w:val="3"/>
  </w:num>
  <w:num w:numId="28" w16cid:durableId="1917592527">
    <w:abstractNumId w:val="2"/>
  </w:num>
  <w:num w:numId="29" w16cid:durableId="777263581">
    <w:abstractNumId w:val="1"/>
  </w:num>
  <w:num w:numId="30" w16cid:durableId="1999725085">
    <w:abstractNumId w:val="0"/>
  </w:num>
  <w:num w:numId="31" w16cid:durableId="795637231">
    <w:abstractNumId w:val="9"/>
  </w:num>
  <w:num w:numId="32" w16cid:durableId="133108395">
    <w:abstractNumId w:val="7"/>
  </w:num>
  <w:num w:numId="33" w16cid:durableId="1802503176">
    <w:abstractNumId w:val="6"/>
  </w:num>
  <w:num w:numId="34" w16cid:durableId="1026521851">
    <w:abstractNumId w:val="5"/>
  </w:num>
  <w:num w:numId="35" w16cid:durableId="101413165">
    <w:abstractNumId w:val="4"/>
  </w:num>
  <w:num w:numId="36" w16cid:durableId="1520123671">
    <w:abstractNumId w:val="8"/>
  </w:num>
  <w:num w:numId="37" w16cid:durableId="11566723">
    <w:abstractNumId w:val="3"/>
  </w:num>
  <w:num w:numId="38" w16cid:durableId="1717965405">
    <w:abstractNumId w:val="2"/>
  </w:num>
  <w:num w:numId="39" w16cid:durableId="585263292">
    <w:abstractNumId w:val="1"/>
  </w:num>
  <w:num w:numId="40" w16cid:durableId="740831059">
    <w:abstractNumId w:val="0"/>
  </w:num>
  <w:num w:numId="41" w16cid:durableId="167869436">
    <w:abstractNumId w:val="10"/>
  </w:num>
  <w:num w:numId="42" w16cid:durableId="1463424650">
    <w:abstractNumId w:val="10"/>
  </w:num>
  <w:num w:numId="43" w16cid:durableId="918447074">
    <w:abstractNumId w:val="10"/>
  </w:num>
  <w:num w:numId="44" w16cid:durableId="19028684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HR"/>
    <w:docVar w:name="dvnumam" w:val="0"/>
    <w:docVar w:name="dvpe" w:val="777.025"/>
    <w:docVar w:name="dvrapporteur" w:val="Izvjestitelj: "/>
    <w:docVar w:name="dvstar" w:val="***II"/>
    <w:docVar w:name="dvtitre" w:val="Zakonodavna rezolucija Europskog parlamenta od .... 2025. o stajalištu Vijeća u prvom čitanju s ciljem donošenja Uredbe Europskog parlamenta i Vijeća o izmjeni uredaba (EU) br. 1092/2010, (EU) br. 1093/2010, (EU) br. 1094/2010, (EU) br. 1095/2010, (EU) br. 806/2014, (EU) 2021/523 i (EU) 2024/1620 u pogledu određenih zahtjeva o izvješćivanju u području financijskih usluga i potpore ulaganjima(07377/1/2025 – C10-0196/2025 – 2023/0363(COD))"/>
  </w:docVars>
  <w:rsids>
    <w:rsidRoot w:val="005366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9D8"/>
    <w:rsid w:val="0041666E"/>
    <w:rsid w:val="00421060"/>
    <w:rsid w:val="00463EB9"/>
    <w:rsid w:val="00471C19"/>
    <w:rsid w:val="004867E3"/>
    <w:rsid w:val="00494A28"/>
    <w:rsid w:val="004C0004"/>
    <w:rsid w:val="004C5D52"/>
    <w:rsid w:val="004D2F00"/>
    <w:rsid w:val="0050519A"/>
    <w:rsid w:val="005072A1"/>
    <w:rsid w:val="00514517"/>
    <w:rsid w:val="00536666"/>
    <w:rsid w:val="00545827"/>
    <w:rsid w:val="00560270"/>
    <w:rsid w:val="005829F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251"/>
    <w:rsid w:val="00762C74"/>
    <w:rsid w:val="00786EC0"/>
    <w:rsid w:val="007C6EB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34A"/>
    <w:rsid w:val="00CF071A"/>
    <w:rsid w:val="00D058B8"/>
    <w:rsid w:val="00D56C11"/>
    <w:rsid w:val="00D6440C"/>
    <w:rsid w:val="00D64533"/>
    <w:rsid w:val="00D834A0"/>
    <w:rsid w:val="00D872DF"/>
    <w:rsid w:val="00D91E21"/>
    <w:rsid w:val="00DA7FCD"/>
    <w:rsid w:val="00E365E1"/>
    <w:rsid w:val="00E820A4"/>
    <w:rsid w:val="00EB006A"/>
    <w:rsid w:val="00EB3115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24C6E"/>
  <w15:chartTrackingRefBased/>
  <w15:docId w15:val="{B4F66B39-E659-4ADC-BBA3-F37A89FE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29F1"/>
    <w:pPr>
      <w:spacing w:before="480" w:after="240"/>
    </w:pPr>
  </w:style>
  <w:style w:type="paragraph" w:customStyle="1" w:styleId="NormalBold">
    <w:name w:val="NormalBold"/>
    <w:basedOn w:val="Normal"/>
    <w:rsid w:val="005829F1"/>
    <w:rPr>
      <w:b/>
    </w:rPr>
  </w:style>
  <w:style w:type="paragraph" w:customStyle="1" w:styleId="NormalHanging12a">
    <w:name w:val="NormalHanging12a"/>
    <w:basedOn w:val="Normal"/>
    <w:rsid w:val="005829F1"/>
    <w:pPr>
      <w:spacing w:after="240"/>
      <w:ind w:left="567" w:hanging="567"/>
    </w:pPr>
  </w:style>
  <w:style w:type="character" w:styleId="Hyperlink">
    <w:name w:val="Hyperlink"/>
    <w:basedOn w:val="DefaultParagraphFont"/>
    <w:rsid w:val="005829F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159D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2026-01-06T14:22:00Z</dcterms:created>
  <dcterms:modified xsi:type="dcterms:W3CDTF">2026-01-06T14:22:00Z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