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3483" w14:paraId="74B6E1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5AA58F" w14:textId="77777777" w:rsidR="00751A4A" w:rsidRPr="00A83483" w:rsidRDefault="00560441" w:rsidP="0010095E">
            <w:pPr>
              <w:pStyle w:val="EPName"/>
            </w:pPr>
            <w:r w:rsidRPr="00A83483">
              <w:t>Parlamento europeo</w:t>
            </w:r>
          </w:p>
          <w:p w14:paraId="778E53E9" w14:textId="77777777" w:rsidR="00751A4A" w:rsidRPr="00A834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483">
              <w:t>2024</w:t>
            </w:r>
            <w:r w:rsidR="00817416" w:rsidRPr="00A83483">
              <w:t>-202</w:t>
            </w:r>
            <w:r w:rsidRPr="00A83483">
              <w:t>9</w:t>
            </w:r>
          </w:p>
        </w:tc>
        <w:tc>
          <w:tcPr>
            <w:tcW w:w="2268" w:type="dxa"/>
            <w:shd w:val="clear" w:color="auto" w:fill="auto"/>
          </w:tcPr>
          <w:p w14:paraId="2A360051" w14:textId="77777777" w:rsidR="00751A4A" w:rsidRPr="00A83483" w:rsidRDefault="00187494" w:rsidP="0010095E">
            <w:pPr>
              <w:pStyle w:val="EPLogo"/>
            </w:pPr>
            <w:r w:rsidRPr="00A83483">
              <w:rPr>
                <w:noProof/>
                <w:lang w:eastAsia="ja-JP"/>
              </w:rPr>
              <w:drawing>
                <wp:inline distT="0" distB="0" distL="0" distR="0" wp14:anchorId="4AE7AE3D" wp14:editId="351448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2DAB6" w14:textId="77777777" w:rsidR="00D058B8" w:rsidRPr="00A83483" w:rsidRDefault="00D058B8" w:rsidP="004C5D52">
      <w:pPr>
        <w:pStyle w:val="LineTop"/>
      </w:pPr>
    </w:p>
    <w:p w14:paraId="338D3748" w14:textId="77777777" w:rsidR="00680577" w:rsidRPr="00A83483" w:rsidRDefault="00560441" w:rsidP="00680577">
      <w:pPr>
        <w:pStyle w:val="EPBodyTA1"/>
      </w:pPr>
      <w:r w:rsidRPr="00A83483">
        <w:t>TESTI APPROVATI</w:t>
      </w:r>
    </w:p>
    <w:p w14:paraId="4B8EA3B7" w14:textId="77777777" w:rsidR="00D058B8" w:rsidRPr="00A83483" w:rsidRDefault="00D058B8" w:rsidP="00D058B8">
      <w:pPr>
        <w:pStyle w:val="LineBottom"/>
      </w:pPr>
    </w:p>
    <w:p w14:paraId="3A2B8629" w14:textId="6A85620D" w:rsidR="00560441" w:rsidRPr="00A83483" w:rsidRDefault="00560441" w:rsidP="00560441">
      <w:pPr>
        <w:pStyle w:val="ATHeading1"/>
      </w:pPr>
      <w:bookmarkStart w:id="0" w:name="TANumber"/>
      <w:r w:rsidRPr="00A83483">
        <w:t>P10_</w:t>
      </w:r>
      <w:proofErr w:type="gramStart"/>
      <w:r w:rsidRPr="00A83483">
        <w:t>TA(</w:t>
      </w:r>
      <w:proofErr w:type="gramEnd"/>
      <w:r w:rsidRPr="00A83483">
        <w:t>2025)0</w:t>
      </w:r>
      <w:bookmarkEnd w:id="0"/>
      <w:r w:rsidR="00BE4442" w:rsidRPr="00A83483">
        <w:t>208</w:t>
      </w:r>
    </w:p>
    <w:p w14:paraId="32C6B534" w14:textId="5D936053" w:rsidR="00560441" w:rsidRPr="00A83483" w:rsidRDefault="00560441" w:rsidP="00560441">
      <w:pPr>
        <w:pStyle w:val="ATHeading2"/>
      </w:pPr>
      <w:bookmarkStart w:id="1" w:name="title"/>
      <w:r w:rsidRPr="00A83483">
        <w:t xml:space="preserve">Modifica di </w:t>
      </w:r>
      <w:r w:rsidR="00A83483" w:rsidRPr="00A83483">
        <w:t>alcuni</w:t>
      </w:r>
      <w:r w:rsidR="00C91BA1" w:rsidRPr="00A83483">
        <w:t xml:space="preserve"> </w:t>
      </w:r>
      <w:r w:rsidRPr="00A83483">
        <w:t>regolamenti per quanto riguarda taluni obblighi di comunicazione nei settori dei servizi finanziari e del sostegno agli investimenti</w:t>
      </w:r>
      <w:bookmarkEnd w:id="1"/>
    </w:p>
    <w:p w14:paraId="0C224B5C" w14:textId="77777777" w:rsidR="00560441" w:rsidRPr="00A83483" w:rsidRDefault="00560441" w:rsidP="00560441">
      <w:pPr>
        <w:rPr>
          <w:i/>
          <w:vanish/>
        </w:rPr>
      </w:pPr>
      <w:r w:rsidRPr="00A83483">
        <w:rPr>
          <w:i/>
        </w:rPr>
        <w:fldChar w:fldCharType="begin"/>
      </w:r>
      <w:r w:rsidRPr="00A83483">
        <w:rPr>
          <w:i/>
        </w:rPr>
        <w:instrText xml:space="preserve"> TC"(</w:instrText>
      </w:r>
      <w:bookmarkStart w:id="2" w:name="DocNumber"/>
      <w:r w:rsidRPr="00A83483">
        <w:rPr>
          <w:i/>
        </w:rPr>
        <w:instrText>A10-0166/2025</w:instrText>
      </w:r>
      <w:bookmarkEnd w:id="2"/>
      <w:r w:rsidRPr="00A83483">
        <w:rPr>
          <w:i/>
        </w:rPr>
        <w:instrText xml:space="preserve"> - Relatore: </w:instrText>
      </w:r>
      <w:proofErr w:type="spellStart"/>
      <w:r w:rsidRPr="00A83483">
        <w:rPr>
          <w:i/>
        </w:rPr>
        <w:instrText>Paulius</w:instrText>
      </w:r>
      <w:proofErr w:type="spellEnd"/>
      <w:r w:rsidRPr="00A83483">
        <w:rPr>
          <w:i/>
        </w:rPr>
        <w:instrText xml:space="preserve"> </w:instrText>
      </w:r>
      <w:proofErr w:type="spellStart"/>
      <w:r w:rsidRPr="00A83483">
        <w:rPr>
          <w:i/>
        </w:rPr>
        <w:instrText>Saudargas</w:instrText>
      </w:r>
      <w:proofErr w:type="spellEnd"/>
      <w:r w:rsidRPr="00A83483">
        <w:rPr>
          <w:i/>
        </w:rPr>
        <w:instrText xml:space="preserve">)"\l3 \n&gt; \* MERGEFORMAT </w:instrText>
      </w:r>
      <w:r w:rsidRPr="00A83483">
        <w:rPr>
          <w:i/>
        </w:rPr>
        <w:fldChar w:fldCharType="end"/>
      </w:r>
    </w:p>
    <w:p w14:paraId="1AB1B621" w14:textId="77777777" w:rsidR="00560441" w:rsidRPr="00A83483" w:rsidRDefault="00560441" w:rsidP="00560441">
      <w:pPr>
        <w:rPr>
          <w:vanish/>
        </w:rPr>
      </w:pPr>
      <w:bookmarkStart w:id="3" w:name="Commission"/>
      <w:r w:rsidRPr="00A83483">
        <w:rPr>
          <w:vanish/>
        </w:rPr>
        <w:t>Commissione per i problemi economici e monetari</w:t>
      </w:r>
      <w:bookmarkEnd w:id="3"/>
    </w:p>
    <w:p w14:paraId="2EA4E230" w14:textId="77777777" w:rsidR="00560441" w:rsidRPr="00A83483" w:rsidRDefault="00560441" w:rsidP="00560441">
      <w:pPr>
        <w:rPr>
          <w:vanish/>
        </w:rPr>
      </w:pPr>
      <w:bookmarkStart w:id="4" w:name="PE"/>
      <w:r w:rsidRPr="00A83483">
        <w:rPr>
          <w:vanish/>
        </w:rPr>
        <w:t>PE777.025</w:t>
      </w:r>
      <w:bookmarkEnd w:id="4"/>
    </w:p>
    <w:p w14:paraId="068608E2" w14:textId="77777777" w:rsidR="00560441" w:rsidRPr="00A83483" w:rsidRDefault="00560441" w:rsidP="00560441">
      <w:pPr>
        <w:pStyle w:val="ATHeading3"/>
      </w:pPr>
      <w:bookmarkStart w:id="5" w:name="Sujet"/>
      <w:r w:rsidRPr="00A83483">
        <w:t>Risoluzione legislativa del Parlamento europeo del 7 ottobre 2025 sulla posizione del Consiglio in prima lettura in vista dell'adozione del regolamento del Parlamento europeo e del Consiglio che modifica i regolamenti (UE) n. 1092/2010, (UE) n. 1093/2010, (UE) n. 1094/2010, (UE) n. 1095/2010, (UE) n. 806/2014, (UE) 2021/523 e (UE) 2024/1620 per quanto riguarda taluni obblighi di comunicazione nei settori dei servizi finanziari e del sostegno agli investimenti</w:t>
      </w:r>
      <w:bookmarkEnd w:id="5"/>
      <w:r w:rsidRPr="00A83483">
        <w:t xml:space="preserve"> </w:t>
      </w:r>
      <w:bookmarkStart w:id="6" w:name="References"/>
      <w:r w:rsidRPr="00A83483">
        <w:t>(07377/1/2025 – C10-0196/2025 – 2023/0363(COD))</w:t>
      </w:r>
      <w:bookmarkEnd w:id="6"/>
    </w:p>
    <w:p w14:paraId="4FE51825" w14:textId="77777777" w:rsidR="00363F2E" w:rsidRPr="00A83483" w:rsidRDefault="00363F2E" w:rsidP="00363F2E">
      <w:pPr>
        <w:pStyle w:val="NormalBold"/>
      </w:pPr>
      <w:r w:rsidRPr="00A83483">
        <w:t>(Procedura legislativa ordinaria: seconda lettura)</w:t>
      </w:r>
    </w:p>
    <w:p w14:paraId="22DC266C" w14:textId="77777777" w:rsidR="00363F2E" w:rsidRPr="00A83483" w:rsidRDefault="00363F2E" w:rsidP="00363F2E">
      <w:pPr>
        <w:pStyle w:val="EPComma"/>
      </w:pPr>
      <w:r w:rsidRPr="00A83483">
        <w:rPr>
          <w:i/>
        </w:rPr>
        <w:t>Il Parlamento europeo</w:t>
      </w:r>
      <w:r w:rsidRPr="00A83483">
        <w:t>,</w:t>
      </w:r>
    </w:p>
    <w:p w14:paraId="72BAD50C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vista la posizione del Consiglio in prima lettura (07377/1/2025 – C10</w:t>
      </w:r>
      <w:r w:rsidRPr="00A83483">
        <w:noBreakHyphen/>
        <w:t>0196/2025),</w:t>
      </w:r>
    </w:p>
    <w:p w14:paraId="048C2912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visto il parere della Banca centrale europea del 21 giugno 2024</w:t>
      </w:r>
      <w:r w:rsidRPr="00A83483">
        <w:rPr>
          <w:rStyle w:val="FootnoteReference"/>
        </w:rPr>
        <w:footnoteReference w:id="1"/>
      </w:r>
      <w:r w:rsidRPr="00A83483">
        <w:t>,</w:t>
      </w:r>
    </w:p>
    <w:p w14:paraId="101046D2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visto il parere del Comitato economico e sociale europeo del 14 febbraio 2024</w:t>
      </w:r>
      <w:r w:rsidRPr="00A83483">
        <w:rPr>
          <w:rStyle w:val="FootnoteReference"/>
        </w:rPr>
        <w:footnoteReference w:id="2"/>
      </w:r>
      <w:r w:rsidRPr="00A83483">
        <w:t>,</w:t>
      </w:r>
    </w:p>
    <w:p w14:paraId="5B79B15E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previa consultazione del Comitato delle regioni,</w:t>
      </w:r>
    </w:p>
    <w:p w14:paraId="66963D23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vista la sua posizione in prima lettura</w:t>
      </w:r>
      <w:r w:rsidRPr="00A83483">
        <w:rPr>
          <w:rStyle w:val="FootnoteReference"/>
        </w:rPr>
        <w:footnoteReference w:id="3"/>
      </w:r>
      <w:r w:rsidRPr="00A83483">
        <w:t xml:space="preserve"> sulla proposta della Commissione al Parlamento europeo e al Consiglio (</w:t>
      </w:r>
      <w:proofErr w:type="gramStart"/>
      <w:r w:rsidRPr="00A83483">
        <w:t>COM(</w:t>
      </w:r>
      <w:proofErr w:type="gramEnd"/>
      <w:r w:rsidRPr="00A83483">
        <w:t>2023)0593),</w:t>
      </w:r>
    </w:p>
    <w:p w14:paraId="2CB44753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visto l'articolo 294, paragrafo 7, del trattato sul funzionamento dell'Unione europea,</w:t>
      </w:r>
    </w:p>
    <w:p w14:paraId="1B210C4D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visto l'accordo provvisorio approvato dalla commissione competente a norma dell'articolo 75, paragrafo 4, del suo regolamento,</w:t>
      </w:r>
    </w:p>
    <w:p w14:paraId="5DE1B4F2" w14:textId="77777777" w:rsidR="00363F2E" w:rsidRPr="00A83483" w:rsidRDefault="00363F2E" w:rsidP="00363F2E">
      <w:pPr>
        <w:pStyle w:val="NormalHanging12a"/>
      </w:pPr>
      <w:r w:rsidRPr="00A83483">
        <w:t>–</w:t>
      </w:r>
      <w:r w:rsidRPr="00A83483">
        <w:tab/>
        <w:t>visto l'articolo 68 del suo regolamento,</w:t>
      </w:r>
    </w:p>
    <w:p w14:paraId="36E792FD" w14:textId="77777777" w:rsidR="00363F2E" w:rsidRPr="00A83483" w:rsidRDefault="00363F2E" w:rsidP="00363F2E">
      <w:pPr>
        <w:pStyle w:val="NormalHanging12a"/>
      </w:pPr>
      <w:r w:rsidRPr="00A83483">
        <w:lastRenderedPageBreak/>
        <w:t>–</w:t>
      </w:r>
      <w:r w:rsidRPr="00A83483">
        <w:tab/>
        <w:t>vista la raccomandazione per la seconda lettura della commissione per i problemi economici e monetari (A10</w:t>
      </w:r>
      <w:r w:rsidRPr="00A83483">
        <w:noBreakHyphen/>
        <w:t>0166/2025),</w:t>
      </w:r>
    </w:p>
    <w:p w14:paraId="6CFEBD0A" w14:textId="77777777" w:rsidR="00363F2E" w:rsidRPr="00A83483" w:rsidRDefault="00363F2E" w:rsidP="00363F2E">
      <w:pPr>
        <w:pStyle w:val="NormalHanging12a"/>
      </w:pPr>
      <w:r w:rsidRPr="00A83483">
        <w:t>1.</w:t>
      </w:r>
      <w:r w:rsidRPr="00A83483">
        <w:tab/>
        <w:t>approva la posizione del Consiglio in prima lettura;</w:t>
      </w:r>
    </w:p>
    <w:p w14:paraId="03A70D44" w14:textId="77777777" w:rsidR="00363F2E" w:rsidRPr="00A83483" w:rsidRDefault="00363F2E" w:rsidP="00363F2E">
      <w:pPr>
        <w:pStyle w:val="NormalHanging12a"/>
      </w:pPr>
      <w:r w:rsidRPr="00A83483">
        <w:t>2.</w:t>
      </w:r>
      <w:r w:rsidRPr="00A83483">
        <w:tab/>
        <w:t>constata che l'atto è adottato in conformità della posizione del Consiglio;</w:t>
      </w:r>
    </w:p>
    <w:p w14:paraId="3AB49B15" w14:textId="77777777" w:rsidR="00363F2E" w:rsidRPr="00A83483" w:rsidRDefault="00363F2E" w:rsidP="00363F2E">
      <w:pPr>
        <w:pStyle w:val="NormalHanging12a"/>
      </w:pPr>
      <w:r w:rsidRPr="00A83483">
        <w:t>3.</w:t>
      </w:r>
      <w:r w:rsidRPr="00A83483">
        <w:tab/>
        <w:t>incarica la sua Presidente di firmare l'atto congiuntamente al Presidente del Consiglio, a norma dell'articolo 297, paragrafo 1, del trattato sul funzionamento dell'Unione europea;</w:t>
      </w:r>
    </w:p>
    <w:p w14:paraId="3DAE4301" w14:textId="6B7D24D4" w:rsidR="00363F2E" w:rsidRPr="00A83483" w:rsidRDefault="00363F2E" w:rsidP="00363F2E">
      <w:pPr>
        <w:pStyle w:val="NormalHanging12a"/>
      </w:pPr>
      <w:r w:rsidRPr="00A83483">
        <w:t>4.</w:t>
      </w:r>
      <w:r w:rsidRPr="00A83483">
        <w:tab/>
        <w:t xml:space="preserve">incarica il suo Segretario generale di firmare l'atto, previa verifica che tutte le procedure siano state debitamente espletate, e di procedere, d'intesa con </w:t>
      </w:r>
      <w:r w:rsidR="000E744F" w:rsidRPr="00A83483">
        <w:t xml:space="preserve">la </w:t>
      </w:r>
      <w:r w:rsidRPr="00A83483">
        <w:t>Segretari</w:t>
      </w:r>
      <w:r w:rsidR="000E744F" w:rsidRPr="00A83483">
        <w:t>a</w:t>
      </w:r>
      <w:r w:rsidRPr="00A83483">
        <w:t xml:space="preserve"> generale del Consiglio, a pubblicarlo nella </w:t>
      </w:r>
      <w:r w:rsidRPr="00A83483">
        <w:rPr>
          <w:i/>
        </w:rPr>
        <w:t>Gazzetta ufficiale dell'Unione europea</w:t>
      </w:r>
      <w:r w:rsidRPr="00A83483">
        <w:t>;</w:t>
      </w:r>
    </w:p>
    <w:p w14:paraId="614D570D" w14:textId="425BEB5C" w:rsidR="000F7B30" w:rsidRPr="00A83483" w:rsidRDefault="00363F2E" w:rsidP="000F7B30">
      <w:pPr>
        <w:pStyle w:val="NormalHanging12a"/>
      </w:pPr>
      <w:r w:rsidRPr="00A83483">
        <w:t>5.</w:t>
      </w:r>
      <w:r w:rsidRPr="00A83483">
        <w:tab/>
        <w:t>incarica la sua Presidente di trasmettere la posizione del Parlamento al Consiglio e alla Commissione nonché ai parlamenti nazionali.</w:t>
      </w:r>
    </w:p>
    <w:p w14:paraId="6F75B123" w14:textId="57F49F32" w:rsidR="00E365E1" w:rsidRPr="00A83483" w:rsidRDefault="00E365E1" w:rsidP="00560441"/>
    <w:sectPr w:rsidR="00E365E1" w:rsidRPr="00A83483" w:rsidSect="000F7B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19AF7" w14:textId="77777777" w:rsidR="00560441" w:rsidRPr="000F7B30" w:rsidRDefault="00560441">
      <w:r w:rsidRPr="000F7B30">
        <w:separator/>
      </w:r>
    </w:p>
  </w:endnote>
  <w:endnote w:type="continuationSeparator" w:id="0">
    <w:p w14:paraId="71C2B2F5" w14:textId="77777777" w:rsidR="00560441" w:rsidRPr="000F7B30" w:rsidRDefault="00560441">
      <w:r w:rsidRPr="000F7B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42E60" w14:textId="77777777" w:rsidR="00064002" w:rsidRPr="000F7B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1ED41" w14:textId="77777777" w:rsidR="00064002" w:rsidRPr="000F7B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1121" w14:textId="77777777" w:rsidR="00064002" w:rsidRPr="000F7B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C5E7A" w14:textId="77777777" w:rsidR="00560441" w:rsidRPr="000F7B30" w:rsidRDefault="00560441">
      <w:r w:rsidRPr="000F7B30">
        <w:separator/>
      </w:r>
    </w:p>
  </w:footnote>
  <w:footnote w:type="continuationSeparator" w:id="0">
    <w:p w14:paraId="4968A36E" w14:textId="77777777" w:rsidR="00560441" w:rsidRPr="000F7B30" w:rsidRDefault="00560441">
      <w:r w:rsidRPr="000F7B30">
        <w:continuationSeparator/>
      </w:r>
    </w:p>
  </w:footnote>
  <w:footnote w:id="1">
    <w:p w14:paraId="01CF9D4A" w14:textId="03AA2DFA" w:rsidR="00363F2E" w:rsidRPr="00A83483" w:rsidRDefault="00363F2E" w:rsidP="000F7B30">
      <w:pPr>
        <w:pStyle w:val="FootnoteText"/>
        <w:ind w:left="567" w:hanging="567"/>
        <w:rPr>
          <w:sz w:val="24"/>
          <w:lang w:val="fi-FI"/>
        </w:rPr>
      </w:pPr>
      <w:r w:rsidRPr="000F7B30">
        <w:rPr>
          <w:rStyle w:val="FootnoteReference"/>
          <w:sz w:val="24"/>
          <w:lang w:val="it-IT"/>
        </w:rPr>
        <w:footnoteRef/>
      </w:r>
      <w:r w:rsidR="000F7B30" w:rsidRPr="00A83483">
        <w:rPr>
          <w:sz w:val="24"/>
          <w:lang w:val="fi-FI"/>
        </w:rPr>
        <w:t xml:space="preserve"> </w:t>
      </w:r>
      <w:r w:rsidR="000F7B30" w:rsidRPr="00A83483">
        <w:rPr>
          <w:sz w:val="24"/>
          <w:lang w:val="fi-FI"/>
        </w:rPr>
        <w:tab/>
      </w:r>
      <w:r w:rsidRPr="00A83483">
        <w:rPr>
          <w:sz w:val="24"/>
          <w:lang w:val="fi-FI"/>
        </w:rPr>
        <w:t xml:space="preserve">GU C, C/2024/5048, 16.8.2024, ELI: </w:t>
      </w:r>
      <w:hyperlink r:id="rId1" w:tgtFrame="_blank" w:tooltip="Il link dà accesso al documento tramite l'URI dell'ELI." w:history="1">
        <w:r w:rsidRPr="00A83483">
          <w:rPr>
            <w:rStyle w:val="Hyperlink"/>
            <w:sz w:val="24"/>
            <w:lang w:val="fi-FI"/>
          </w:rPr>
          <w:t>http://data.europa.eu/eli/C/2024/5048/oj</w:t>
        </w:r>
      </w:hyperlink>
      <w:r w:rsidRPr="00A83483">
        <w:rPr>
          <w:sz w:val="24"/>
          <w:lang w:val="fi-FI"/>
        </w:rPr>
        <w:t>.</w:t>
      </w:r>
    </w:p>
  </w:footnote>
  <w:footnote w:id="2">
    <w:p w14:paraId="14D1C460" w14:textId="05BCE847" w:rsidR="00363F2E" w:rsidRPr="00A83483" w:rsidRDefault="00363F2E" w:rsidP="000F7B30">
      <w:pPr>
        <w:pStyle w:val="FootnoteText"/>
        <w:ind w:left="567" w:hanging="567"/>
        <w:rPr>
          <w:sz w:val="24"/>
          <w:lang w:val="fi-FI"/>
        </w:rPr>
      </w:pPr>
      <w:r w:rsidRPr="000F7B30">
        <w:rPr>
          <w:rStyle w:val="FootnoteReference"/>
          <w:sz w:val="24"/>
          <w:lang w:val="it-IT"/>
        </w:rPr>
        <w:footnoteRef/>
      </w:r>
      <w:r w:rsidR="000F7B30" w:rsidRPr="00A83483">
        <w:rPr>
          <w:sz w:val="24"/>
          <w:lang w:val="fi-FI"/>
        </w:rPr>
        <w:t xml:space="preserve"> </w:t>
      </w:r>
      <w:r w:rsidR="000F7B30" w:rsidRPr="00A83483">
        <w:rPr>
          <w:sz w:val="24"/>
          <w:lang w:val="fi-FI"/>
        </w:rPr>
        <w:tab/>
      </w:r>
      <w:r w:rsidRPr="00A83483">
        <w:rPr>
          <w:sz w:val="24"/>
          <w:lang w:val="fi-FI"/>
        </w:rPr>
        <w:t xml:space="preserve">GU C, C/2024/2485, 23.4.2024, ELI: </w:t>
      </w:r>
      <w:hyperlink r:id="rId2" w:history="1">
        <w:r w:rsidRPr="00A83483">
          <w:rPr>
            <w:rStyle w:val="Hyperlink"/>
            <w:sz w:val="24"/>
            <w:lang w:val="fi-FI"/>
          </w:rPr>
          <w:t>http://data.europa.eu/eli/C/2024/2485/oj</w:t>
        </w:r>
      </w:hyperlink>
      <w:r w:rsidRPr="00A83483">
        <w:rPr>
          <w:sz w:val="24"/>
          <w:lang w:val="fi-FI"/>
        </w:rPr>
        <w:t>.</w:t>
      </w:r>
    </w:p>
  </w:footnote>
  <w:footnote w:id="3">
    <w:p w14:paraId="4E675BF6" w14:textId="3AFAC55D" w:rsidR="00363F2E" w:rsidRPr="00A83483" w:rsidRDefault="00363F2E" w:rsidP="000F7B30">
      <w:pPr>
        <w:pStyle w:val="FootnoteText"/>
        <w:ind w:left="567" w:hanging="567"/>
        <w:rPr>
          <w:sz w:val="24"/>
          <w:lang w:val="fi-FI"/>
        </w:rPr>
      </w:pPr>
      <w:r w:rsidRPr="000F7B30">
        <w:rPr>
          <w:rStyle w:val="FootnoteReference"/>
          <w:sz w:val="24"/>
          <w:lang w:val="it-IT"/>
        </w:rPr>
        <w:footnoteRef/>
      </w:r>
      <w:r w:rsidR="000F7B30" w:rsidRPr="00A83483">
        <w:rPr>
          <w:sz w:val="24"/>
          <w:lang w:val="fi-FI"/>
        </w:rPr>
        <w:t xml:space="preserve"> </w:t>
      </w:r>
      <w:r w:rsidR="000F7B30" w:rsidRPr="00A83483">
        <w:rPr>
          <w:sz w:val="24"/>
          <w:lang w:val="fi-FI"/>
        </w:rPr>
        <w:tab/>
      </w:r>
      <w:r w:rsidR="000E744F" w:rsidRPr="00A83483">
        <w:rPr>
          <w:sz w:val="24"/>
          <w:lang w:val="fi-FI"/>
        </w:rPr>
        <w:t xml:space="preserve">GU C, C/2025/1021, 27.2.2025, ELI: </w:t>
      </w:r>
      <w:hyperlink r:id="rId3" w:history="1">
        <w:r w:rsidR="000E744F" w:rsidRPr="00A83483">
          <w:rPr>
            <w:rStyle w:val="Hyperlink"/>
            <w:sz w:val="24"/>
            <w:lang w:val="fi-FI"/>
          </w:rPr>
          <w:t>http://data.europa.eu/eli/C/2025/1021/oj</w:t>
        </w:r>
      </w:hyperlink>
      <w:r w:rsidRPr="00A8348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A6CD" w14:textId="77777777" w:rsidR="00064002" w:rsidRPr="000F7B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FF6B2" w14:textId="77777777" w:rsidR="00064002" w:rsidRPr="000F7B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3786" w14:textId="77777777" w:rsidR="00064002" w:rsidRPr="000F7B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1069011">
    <w:abstractNumId w:val="9"/>
  </w:num>
  <w:num w:numId="2" w16cid:durableId="306056690">
    <w:abstractNumId w:val="9"/>
  </w:num>
  <w:num w:numId="3" w16cid:durableId="290021031">
    <w:abstractNumId w:val="7"/>
  </w:num>
  <w:num w:numId="4" w16cid:durableId="1534615428">
    <w:abstractNumId w:val="7"/>
  </w:num>
  <w:num w:numId="5" w16cid:durableId="309217117">
    <w:abstractNumId w:val="6"/>
  </w:num>
  <w:num w:numId="6" w16cid:durableId="1425541256">
    <w:abstractNumId w:val="6"/>
  </w:num>
  <w:num w:numId="7" w16cid:durableId="158423832">
    <w:abstractNumId w:val="5"/>
  </w:num>
  <w:num w:numId="8" w16cid:durableId="1889417673">
    <w:abstractNumId w:val="5"/>
  </w:num>
  <w:num w:numId="9" w16cid:durableId="603422243">
    <w:abstractNumId w:val="4"/>
  </w:num>
  <w:num w:numId="10" w16cid:durableId="933977002">
    <w:abstractNumId w:val="4"/>
  </w:num>
  <w:num w:numId="11" w16cid:durableId="274139501">
    <w:abstractNumId w:val="8"/>
  </w:num>
  <w:num w:numId="12" w16cid:durableId="362368119">
    <w:abstractNumId w:val="8"/>
  </w:num>
  <w:num w:numId="13" w16cid:durableId="1535771995">
    <w:abstractNumId w:val="3"/>
  </w:num>
  <w:num w:numId="14" w16cid:durableId="939531414">
    <w:abstractNumId w:val="3"/>
  </w:num>
  <w:num w:numId="15" w16cid:durableId="761995158">
    <w:abstractNumId w:val="2"/>
  </w:num>
  <w:num w:numId="16" w16cid:durableId="703755470">
    <w:abstractNumId w:val="2"/>
  </w:num>
  <w:num w:numId="17" w16cid:durableId="1933272939">
    <w:abstractNumId w:val="1"/>
  </w:num>
  <w:num w:numId="18" w16cid:durableId="2074237363">
    <w:abstractNumId w:val="1"/>
  </w:num>
  <w:num w:numId="19" w16cid:durableId="793669165">
    <w:abstractNumId w:val="0"/>
  </w:num>
  <w:num w:numId="20" w16cid:durableId="1328746965">
    <w:abstractNumId w:val="0"/>
  </w:num>
  <w:num w:numId="21" w16cid:durableId="1313950879">
    <w:abstractNumId w:val="9"/>
  </w:num>
  <w:num w:numId="22" w16cid:durableId="1135954715">
    <w:abstractNumId w:val="7"/>
  </w:num>
  <w:num w:numId="23" w16cid:durableId="1514682087">
    <w:abstractNumId w:val="6"/>
  </w:num>
  <w:num w:numId="24" w16cid:durableId="1104496831">
    <w:abstractNumId w:val="5"/>
  </w:num>
  <w:num w:numId="25" w16cid:durableId="1753619034">
    <w:abstractNumId w:val="4"/>
  </w:num>
  <w:num w:numId="26" w16cid:durableId="840851790">
    <w:abstractNumId w:val="8"/>
  </w:num>
  <w:num w:numId="27" w16cid:durableId="878979670">
    <w:abstractNumId w:val="3"/>
  </w:num>
  <w:num w:numId="28" w16cid:durableId="1681850853">
    <w:abstractNumId w:val="2"/>
  </w:num>
  <w:num w:numId="29" w16cid:durableId="880824955">
    <w:abstractNumId w:val="1"/>
  </w:num>
  <w:num w:numId="30" w16cid:durableId="146023402">
    <w:abstractNumId w:val="0"/>
  </w:num>
  <w:num w:numId="31" w16cid:durableId="1384059280">
    <w:abstractNumId w:val="9"/>
  </w:num>
  <w:num w:numId="32" w16cid:durableId="613942180">
    <w:abstractNumId w:val="7"/>
  </w:num>
  <w:num w:numId="33" w16cid:durableId="1136680183">
    <w:abstractNumId w:val="6"/>
  </w:num>
  <w:num w:numId="34" w16cid:durableId="182789550">
    <w:abstractNumId w:val="5"/>
  </w:num>
  <w:num w:numId="35" w16cid:durableId="1246955442">
    <w:abstractNumId w:val="4"/>
  </w:num>
  <w:num w:numId="36" w16cid:durableId="1514490496">
    <w:abstractNumId w:val="8"/>
  </w:num>
  <w:num w:numId="37" w16cid:durableId="2017686634">
    <w:abstractNumId w:val="3"/>
  </w:num>
  <w:num w:numId="38" w16cid:durableId="488835971">
    <w:abstractNumId w:val="2"/>
  </w:num>
  <w:num w:numId="39" w16cid:durableId="1664777860">
    <w:abstractNumId w:val="1"/>
  </w:num>
  <w:num w:numId="40" w16cid:durableId="1387803213">
    <w:abstractNumId w:val="0"/>
  </w:num>
  <w:num w:numId="41" w16cid:durableId="888037025">
    <w:abstractNumId w:val="10"/>
  </w:num>
  <w:num w:numId="42" w16cid:durableId="1022437874">
    <w:abstractNumId w:val="10"/>
  </w:num>
  <w:num w:numId="43" w16cid:durableId="470370727">
    <w:abstractNumId w:val="10"/>
  </w:num>
  <w:num w:numId="44" w16cid:durableId="1030304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IT"/>
    <w:docVar w:name="dvnumam" w:val="0"/>
    <w:docVar w:name="dvpe" w:val="777.025"/>
    <w:docVar w:name="dvrapporteur" w:val="Relatore: "/>
    <w:docVar w:name="dvstar" w:val="***II"/>
    <w:docVar w:name="dvtitre" w:val="Risoluzione legislativa del Parlamento europeo del 7 ottobre 2025 sulla posizione del Consiglio in prima lettura in vista dell'adozione del regolamento del Parlamento europeo e del Consiglio che modifica i regolamenti (UE) n. 1092/2010, (UE) n. 1093/2010, (UE) n. 1094/2010, (UE) n. 1095/2010, (UE) n. 806/2014, (UE) 2021/523 e (UE) 2024/1620 per quanto riguarda taluni obblighi di comunicazione nei settori dei servizi finanziari e del sostegno agli investimenti(07377/1/2025 – C10-0196/2025 – 2023/0363(COD))"/>
  </w:docVars>
  <w:rsids>
    <w:rsidRoot w:val="00560441"/>
    <w:rsid w:val="00002272"/>
    <w:rsid w:val="00002D31"/>
    <w:rsid w:val="00064002"/>
    <w:rsid w:val="000677B9"/>
    <w:rsid w:val="000831BA"/>
    <w:rsid w:val="000A42CC"/>
    <w:rsid w:val="000E744F"/>
    <w:rsid w:val="000E7DD9"/>
    <w:rsid w:val="000F7B30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F2E"/>
    <w:rsid w:val="00395FA1"/>
    <w:rsid w:val="003B75A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441"/>
    <w:rsid w:val="005C2568"/>
    <w:rsid w:val="005F1B17"/>
    <w:rsid w:val="006037C0"/>
    <w:rsid w:val="006631B6"/>
    <w:rsid w:val="0066733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477"/>
    <w:rsid w:val="00842779"/>
    <w:rsid w:val="00865F67"/>
    <w:rsid w:val="00881A7B"/>
    <w:rsid w:val="008840E5"/>
    <w:rsid w:val="00887B3E"/>
    <w:rsid w:val="008C13B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48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442"/>
    <w:rsid w:val="00BE6ADC"/>
    <w:rsid w:val="00C05BFE"/>
    <w:rsid w:val="00C23CD4"/>
    <w:rsid w:val="00C61C0C"/>
    <w:rsid w:val="00C91BA1"/>
    <w:rsid w:val="00C941CB"/>
    <w:rsid w:val="00CC2357"/>
    <w:rsid w:val="00CF071A"/>
    <w:rsid w:val="00D058B8"/>
    <w:rsid w:val="00D56C11"/>
    <w:rsid w:val="00D621A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FE42B"/>
  <w15:chartTrackingRefBased/>
  <w15:docId w15:val="{B7FB4D15-D9D9-4661-90AD-EBC01E39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3F2E"/>
    <w:pPr>
      <w:spacing w:before="480" w:after="240"/>
    </w:pPr>
  </w:style>
  <w:style w:type="paragraph" w:customStyle="1" w:styleId="NormalBold">
    <w:name w:val="NormalBold"/>
    <w:basedOn w:val="Normal"/>
    <w:rsid w:val="00363F2E"/>
    <w:rPr>
      <w:b/>
    </w:rPr>
  </w:style>
  <w:style w:type="paragraph" w:customStyle="1" w:styleId="NormalHanging12a">
    <w:name w:val="NormalHanging12a"/>
    <w:basedOn w:val="Normal"/>
    <w:rsid w:val="00363F2E"/>
    <w:pPr>
      <w:spacing w:after="240"/>
      <w:ind w:left="567" w:hanging="567"/>
    </w:pPr>
  </w:style>
  <w:style w:type="character" w:styleId="Hyperlink">
    <w:name w:val="Hyperlink"/>
    <w:basedOn w:val="DefaultParagraphFont"/>
    <w:rsid w:val="00363F2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744F"/>
    <w:rPr>
      <w:sz w:val="24"/>
      <w:lang w:val="it-IT"/>
    </w:rPr>
  </w:style>
  <w:style w:type="character" w:styleId="CommentReference">
    <w:name w:val="annotation reference"/>
    <w:basedOn w:val="DefaultParagraphFont"/>
    <w:rsid w:val="000E74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74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744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E7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744F"/>
    <w:rPr>
      <w:b/>
      <w:bCs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0E7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AR_review</dc:creator>
  <cp:keywords/>
  <cp:lastModifiedBy>AR_rev 1</cp:lastModifiedBy>
  <cp:revision>2</cp:revision>
  <cp:lastPrinted>2004-11-19T15:42:00Z</cp:lastPrinted>
  <dcterms:created xsi:type="dcterms:W3CDTF">2025-10-07T12:09:00Z</dcterms:created>
  <dcterms:modified xsi:type="dcterms:W3CDTF">2025-10-07T12:09:00Z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A10-0166/2025</vt:lpwstr>
  </property>
  <property fmtid="{D5CDD505-2E9C-101B-9397-08002B2CF9AE}" pid="4" name="&lt;Type&gt;">
    <vt:lpwstr>RR</vt:lpwstr>
  </property>
</Properties>
</file>