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0945" w14:paraId="1FF436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D90015" w14:textId="77777777" w:rsidR="00751A4A" w:rsidRPr="00A30945" w:rsidRDefault="00D30B4E" w:rsidP="0010095E">
            <w:pPr>
              <w:pStyle w:val="EPName"/>
            </w:pPr>
            <w:r w:rsidRPr="00A30945">
              <w:t>Eiropas Parlaments</w:t>
            </w:r>
          </w:p>
          <w:p w14:paraId="7FE50E3A" w14:textId="77777777" w:rsidR="00751A4A" w:rsidRPr="00A309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0945">
              <w:t>2024</w:t>
            </w:r>
            <w:r w:rsidR="00817416" w:rsidRPr="00A30945">
              <w:t>-202</w:t>
            </w:r>
            <w:r w:rsidRPr="00A30945">
              <w:t>9</w:t>
            </w:r>
          </w:p>
        </w:tc>
        <w:tc>
          <w:tcPr>
            <w:tcW w:w="2268" w:type="dxa"/>
            <w:shd w:val="clear" w:color="auto" w:fill="auto"/>
          </w:tcPr>
          <w:p w14:paraId="115FB6CB" w14:textId="77777777" w:rsidR="00751A4A" w:rsidRPr="00A30945" w:rsidRDefault="00187494" w:rsidP="0010095E">
            <w:pPr>
              <w:pStyle w:val="EPLogo"/>
            </w:pPr>
            <w:r w:rsidRPr="00A30945">
              <w:rPr>
                <w:noProof/>
                <w:lang w:eastAsia="ja-JP"/>
              </w:rPr>
              <w:drawing>
                <wp:inline distT="0" distB="0" distL="0" distR="0" wp14:anchorId="5CC5B491" wp14:editId="27ACF7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E090C2" w14:textId="77777777" w:rsidR="00D058B8" w:rsidRPr="00A30945" w:rsidRDefault="00D058B8" w:rsidP="004C5D52">
      <w:pPr>
        <w:pStyle w:val="LineTop"/>
      </w:pPr>
    </w:p>
    <w:p w14:paraId="201E4D40" w14:textId="77777777" w:rsidR="00680577" w:rsidRPr="00A30945" w:rsidRDefault="00D30B4E" w:rsidP="00680577">
      <w:pPr>
        <w:pStyle w:val="EPBodyTA1"/>
      </w:pPr>
      <w:r w:rsidRPr="00A30945">
        <w:t>PIEŅEMTIE TEKSTI</w:t>
      </w:r>
    </w:p>
    <w:p w14:paraId="458663F2" w14:textId="77777777" w:rsidR="00D058B8" w:rsidRPr="00A30945" w:rsidRDefault="00D058B8" w:rsidP="00D058B8">
      <w:pPr>
        <w:pStyle w:val="LineBottom"/>
      </w:pPr>
    </w:p>
    <w:p w14:paraId="4FB510A2" w14:textId="62813695" w:rsidR="00D30B4E" w:rsidRPr="00A30945" w:rsidRDefault="00D30B4E" w:rsidP="00D30B4E">
      <w:pPr>
        <w:pStyle w:val="ATHeading1"/>
      </w:pPr>
      <w:bookmarkStart w:id="0" w:name="TANumber"/>
      <w:r w:rsidRPr="00A30945">
        <w:t>P10_TA(2025)0</w:t>
      </w:r>
      <w:r w:rsidR="00A30945" w:rsidRPr="00A30945">
        <w:t>208</w:t>
      </w:r>
      <w:bookmarkEnd w:id="0"/>
    </w:p>
    <w:p w14:paraId="704BE8E5" w14:textId="49A2CC2C" w:rsidR="00D30B4E" w:rsidRPr="00A30945" w:rsidRDefault="00931915" w:rsidP="00931915">
      <w:pPr>
        <w:pStyle w:val="ATHeading2"/>
      </w:pPr>
      <w:bookmarkStart w:id="1" w:name="title"/>
      <w:r w:rsidRPr="00A30945">
        <w:t>Noteiktu finanšu pakalpojumu un ieguldījumu atbalsta jomas regulu grozīšana attiecībā uz dažām ziņošanas prasībām</w:t>
      </w:r>
      <w:bookmarkEnd w:id="1"/>
    </w:p>
    <w:p w14:paraId="2B32956D" w14:textId="77777777" w:rsidR="00D30B4E" w:rsidRPr="00A30945" w:rsidRDefault="00D30B4E" w:rsidP="00D30B4E">
      <w:pPr>
        <w:rPr>
          <w:i/>
          <w:vanish/>
        </w:rPr>
      </w:pPr>
      <w:r w:rsidRPr="00A30945">
        <w:rPr>
          <w:i/>
        </w:rPr>
        <w:fldChar w:fldCharType="begin"/>
      </w:r>
      <w:r w:rsidRPr="00A30945">
        <w:rPr>
          <w:i/>
        </w:rPr>
        <w:instrText xml:space="preserve"> TC"(</w:instrText>
      </w:r>
      <w:bookmarkStart w:id="2" w:name="DocNumber"/>
      <w:r w:rsidRPr="00A30945">
        <w:rPr>
          <w:i/>
        </w:rPr>
        <w:instrText>A10-0166/2025</w:instrText>
      </w:r>
      <w:bookmarkEnd w:id="2"/>
      <w:r w:rsidRPr="00A30945">
        <w:rPr>
          <w:i/>
        </w:rPr>
        <w:instrText xml:space="preserve"> - Referents: Paulius Saudargas)"\l3 \n&gt; \* MERGEFORMAT </w:instrText>
      </w:r>
      <w:r w:rsidRPr="00A30945">
        <w:rPr>
          <w:i/>
        </w:rPr>
        <w:fldChar w:fldCharType="end"/>
      </w:r>
    </w:p>
    <w:p w14:paraId="4E9B305E" w14:textId="77777777" w:rsidR="00D30B4E" w:rsidRPr="00A30945" w:rsidRDefault="00D30B4E" w:rsidP="00D30B4E">
      <w:pPr>
        <w:rPr>
          <w:vanish/>
        </w:rPr>
      </w:pPr>
      <w:bookmarkStart w:id="3" w:name="Commission"/>
      <w:r w:rsidRPr="00A30945">
        <w:rPr>
          <w:vanish/>
        </w:rPr>
        <w:t>Ekonomikas un monetārā komiteja</w:t>
      </w:r>
      <w:bookmarkEnd w:id="3"/>
    </w:p>
    <w:p w14:paraId="329B61B6" w14:textId="77777777" w:rsidR="00D30B4E" w:rsidRPr="00A30945" w:rsidRDefault="00D30B4E" w:rsidP="00D30B4E">
      <w:pPr>
        <w:rPr>
          <w:vanish/>
        </w:rPr>
      </w:pPr>
      <w:bookmarkStart w:id="4" w:name="PE"/>
      <w:r w:rsidRPr="00A30945">
        <w:rPr>
          <w:vanish/>
        </w:rPr>
        <w:t>PE777.025</w:t>
      </w:r>
      <w:bookmarkEnd w:id="4"/>
    </w:p>
    <w:p w14:paraId="0E005B9C" w14:textId="112B8FC7" w:rsidR="00D30B4E" w:rsidRPr="00A30945" w:rsidRDefault="00D30B4E" w:rsidP="00D30B4E">
      <w:pPr>
        <w:pStyle w:val="ATHeading3"/>
      </w:pPr>
      <w:bookmarkStart w:id="5" w:name="Sujet"/>
      <w:r w:rsidRPr="00A30945">
        <w:t xml:space="preserve">Eiropas Parlamenta 2025. gada </w:t>
      </w:r>
      <w:r w:rsidR="00931915" w:rsidRPr="00A30945">
        <w:t>7. oktobra</w:t>
      </w:r>
      <w:r w:rsidRPr="00A30945">
        <w:t xml:space="preserve"> normatīvā rezolūcija par Padomes nostāju pirmajā lasījumā, lai pieņemtu Eiropas Parlamenta un Padomes regulu, ar ko groza Regulas (ES) Nr. 1092/2010, (ES) Nr. 1093/2010, (ES) Nr. 1094/2010, (ES) Nr. 1095/2010, (ES) Nr. 806/2014, (ES) 2021/523 un (ES) 2024/1620 attiecībā uz dažām ziņošanas prasībām finanšu pakalpojumu un ieguldījumu atbalsta jomā</w:t>
      </w:r>
      <w:bookmarkEnd w:id="5"/>
      <w:r w:rsidRPr="00A30945">
        <w:t xml:space="preserve"> </w:t>
      </w:r>
      <w:bookmarkStart w:id="6" w:name="References"/>
      <w:r w:rsidRPr="00A30945">
        <w:t>(07377/1/2025 – C10-0196/2025 – 2023/0363(COD))</w:t>
      </w:r>
      <w:bookmarkEnd w:id="6"/>
    </w:p>
    <w:p w14:paraId="3EC73701" w14:textId="77777777" w:rsidR="00D30B4E" w:rsidRPr="00A30945" w:rsidRDefault="00D30B4E" w:rsidP="00D30B4E"/>
    <w:p w14:paraId="0156B258" w14:textId="77777777" w:rsidR="00BB1389" w:rsidRPr="00A30945" w:rsidRDefault="00BB1389" w:rsidP="00BB1389">
      <w:pPr>
        <w:pStyle w:val="NormalBold"/>
      </w:pPr>
      <w:bookmarkStart w:id="7" w:name="TextBodyBegin"/>
      <w:bookmarkEnd w:id="7"/>
      <w:r w:rsidRPr="00A30945">
        <w:t>(Parastā likumdošanas procedūra: otrais lasījums)</w:t>
      </w:r>
    </w:p>
    <w:p w14:paraId="760483C7" w14:textId="77777777" w:rsidR="00BB1389" w:rsidRPr="00A30945" w:rsidRDefault="00BB1389" w:rsidP="00BB1389">
      <w:pPr>
        <w:pStyle w:val="EPComma"/>
      </w:pPr>
      <w:r w:rsidRPr="00A30945">
        <w:rPr>
          <w:i/>
        </w:rPr>
        <w:t>Eiropas Parlaments</w:t>
      </w:r>
      <w:r w:rsidRPr="00A30945">
        <w:t>,</w:t>
      </w:r>
    </w:p>
    <w:p w14:paraId="264050C6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Padomes nostāju pirmajā lasījumā (07377/1/2025 – C10</w:t>
      </w:r>
      <w:r w:rsidRPr="00A30945">
        <w:noBreakHyphen/>
        <w:t>0196/2025),</w:t>
      </w:r>
    </w:p>
    <w:p w14:paraId="0C67751A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Eiropas Centrālās bankas 2024. gada 21. jūnija atzinumu</w:t>
      </w:r>
      <w:r w:rsidRPr="00A30945">
        <w:rPr>
          <w:rStyle w:val="FootnoteReference"/>
        </w:rPr>
        <w:footnoteReference w:id="1"/>
      </w:r>
      <w:r w:rsidRPr="00A30945">
        <w:t>,</w:t>
      </w:r>
    </w:p>
    <w:p w14:paraId="7804309F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Eiropas Ekonomikas un sociālo lietu komitejas 2024. gada 14. februāra atzinumu</w:t>
      </w:r>
      <w:r w:rsidRPr="00A30945">
        <w:rPr>
          <w:rStyle w:val="FootnoteReference"/>
        </w:rPr>
        <w:footnoteReference w:id="2"/>
      </w:r>
      <w:r w:rsidRPr="00A30945">
        <w:t>,</w:t>
      </w:r>
    </w:p>
    <w:p w14:paraId="53CA3D38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pēc apspriešanās ar Reģionu komiteju,</w:t>
      </w:r>
    </w:p>
    <w:p w14:paraId="109B781F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Parlamenta nostāju pirmajā lasījumā</w:t>
      </w:r>
      <w:r w:rsidRPr="00A30945">
        <w:rPr>
          <w:rStyle w:val="FootnoteReference"/>
        </w:rPr>
        <w:footnoteReference w:id="3"/>
      </w:r>
      <w:r w:rsidRPr="00A30945">
        <w:t xml:space="preserve"> attiecībā uz Komisijas priekšlikumu Eiropas Parlamentam un Padomei (COM(2023)0593),</w:t>
      </w:r>
    </w:p>
    <w:p w14:paraId="375BEA85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Līguma par Eiropas Savienības darbību 294. panta 7. punktu,</w:t>
      </w:r>
    </w:p>
    <w:p w14:paraId="5C40BF11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provizorisko vienošanos, ko atbildīgā komiteja apstiprināja saskaņā ar Reglamenta 75. panta 4. punktu,</w:t>
      </w:r>
    </w:p>
    <w:p w14:paraId="3AEEC558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Reglamenta 68. pantu,</w:t>
      </w:r>
    </w:p>
    <w:p w14:paraId="75159676" w14:textId="77777777" w:rsidR="00BB1389" w:rsidRPr="00A30945" w:rsidRDefault="00BB1389" w:rsidP="00BB1389">
      <w:pPr>
        <w:pStyle w:val="NormalHanging12a"/>
      </w:pPr>
      <w:r w:rsidRPr="00A30945">
        <w:t>–</w:t>
      </w:r>
      <w:r w:rsidRPr="00A30945">
        <w:tab/>
        <w:t>ņemot vērā Ekonomikas un monetārās komitejas ieteikumu otrajam lasījumam (A10-0166/2025),</w:t>
      </w:r>
    </w:p>
    <w:p w14:paraId="583A105F" w14:textId="77777777" w:rsidR="00BB1389" w:rsidRPr="00A30945" w:rsidRDefault="00BB1389" w:rsidP="00BB1389">
      <w:pPr>
        <w:pStyle w:val="NormalHanging12a"/>
      </w:pPr>
      <w:r w:rsidRPr="00A30945">
        <w:lastRenderedPageBreak/>
        <w:t>1.</w:t>
      </w:r>
      <w:r w:rsidRPr="00A30945">
        <w:tab/>
        <w:t>apstiprina Padomes nostāju pirmajā lasījumā;</w:t>
      </w:r>
    </w:p>
    <w:p w14:paraId="4692EEBE" w14:textId="77777777" w:rsidR="00BB1389" w:rsidRPr="00A30945" w:rsidRDefault="00BB1389" w:rsidP="00BB1389">
      <w:pPr>
        <w:pStyle w:val="NormalHanging12a"/>
      </w:pPr>
      <w:r w:rsidRPr="00A30945">
        <w:t>2.</w:t>
      </w:r>
      <w:r w:rsidRPr="00A30945">
        <w:tab/>
        <w:t>konstatē, ka akts ir pieņemts saskaņā ar Padomes nostāju;</w:t>
      </w:r>
    </w:p>
    <w:p w14:paraId="0DDDCDE3" w14:textId="77777777" w:rsidR="00BB1389" w:rsidRPr="00A30945" w:rsidRDefault="00BB1389" w:rsidP="00BB1389">
      <w:pPr>
        <w:pStyle w:val="NormalHanging12a"/>
      </w:pPr>
      <w:r w:rsidRPr="00A30945">
        <w:t>3.</w:t>
      </w:r>
      <w:r w:rsidRPr="00A30945">
        <w:tab/>
        <w:t>uzdod priekšsēdētājai parakstīt aktu kopā ar Padomes priekšsēdētāju saskaņā ar Līguma par Eiropas Savienības darbību 297. panta 1. punktu;</w:t>
      </w:r>
    </w:p>
    <w:p w14:paraId="11302F4C" w14:textId="77777777" w:rsidR="00BB1389" w:rsidRPr="00A30945" w:rsidRDefault="00BB1389" w:rsidP="00BB1389">
      <w:pPr>
        <w:pStyle w:val="NormalHanging12a"/>
      </w:pPr>
      <w:r w:rsidRPr="00A30945">
        <w:t>4.</w:t>
      </w:r>
      <w:r w:rsidRPr="00A30945">
        <w:tab/>
        <w:t xml:space="preserve">uzdod ģenerālsekretāram parakstīt aktu pēc tam, kad ir notikusi pārbaude, ka ir pienācīgi ievērotas visas procedūras, un pēc saskaņošanas ar Padomes ģenerālsekretāru nodrošināt tā publicēšanu </w:t>
      </w:r>
      <w:r w:rsidRPr="00A30945">
        <w:rPr>
          <w:i/>
        </w:rPr>
        <w:t>Eiropas Savienības Oficiālajā Vēstnesī</w:t>
      </w:r>
      <w:r w:rsidRPr="00A30945">
        <w:t>;</w:t>
      </w:r>
    </w:p>
    <w:p w14:paraId="435FD0BC" w14:textId="1ACB70E8" w:rsidR="00E365E1" w:rsidRPr="00A30945" w:rsidRDefault="00BB1389" w:rsidP="00A30945">
      <w:pPr>
        <w:ind w:left="567" w:hanging="567"/>
      </w:pPr>
      <w:r w:rsidRPr="00A30945">
        <w:t>5.</w:t>
      </w:r>
      <w:r w:rsidRPr="00A30945">
        <w:tab/>
        <w:t>uzdod priekšsēdētājai Parlamenta nostāju nosūtīt Padomei un Komisijai, kā arī dalībvalstu parlamentiem.</w:t>
      </w:r>
    </w:p>
    <w:sectPr w:rsidR="00E365E1" w:rsidRPr="00A30945" w:rsidSect="00F874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DDE24" w14:textId="77777777" w:rsidR="00D30B4E" w:rsidRPr="00F87490" w:rsidRDefault="00D30B4E">
      <w:r w:rsidRPr="00F87490">
        <w:separator/>
      </w:r>
    </w:p>
  </w:endnote>
  <w:endnote w:type="continuationSeparator" w:id="0">
    <w:p w14:paraId="0C22D5B1" w14:textId="77777777" w:rsidR="00D30B4E" w:rsidRPr="00F87490" w:rsidRDefault="00D30B4E">
      <w:r w:rsidRPr="00F874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70741" w14:textId="77777777" w:rsidR="00064002" w:rsidRPr="00F874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9826E" w14:textId="77777777" w:rsidR="00064002" w:rsidRPr="00F874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E0A2A" w14:textId="77777777" w:rsidR="00064002" w:rsidRPr="00F874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AE7B" w14:textId="77777777" w:rsidR="00D30B4E" w:rsidRPr="00F87490" w:rsidRDefault="00D30B4E">
      <w:r w:rsidRPr="00F87490">
        <w:separator/>
      </w:r>
    </w:p>
  </w:footnote>
  <w:footnote w:type="continuationSeparator" w:id="0">
    <w:p w14:paraId="57B929F8" w14:textId="77777777" w:rsidR="00D30B4E" w:rsidRPr="00F87490" w:rsidRDefault="00D30B4E">
      <w:r w:rsidRPr="00F87490">
        <w:continuationSeparator/>
      </w:r>
    </w:p>
  </w:footnote>
  <w:footnote w:id="1">
    <w:p w14:paraId="278ECD81" w14:textId="6C146036" w:rsidR="00BB1389" w:rsidRPr="00F87490" w:rsidRDefault="00BB1389" w:rsidP="00F87490">
      <w:pPr>
        <w:pStyle w:val="FootnoteText"/>
        <w:ind w:left="567" w:hanging="567"/>
        <w:rPr>
          <w:sz w:val="24"/>
          <w:lang w:val="lv-LV"/>
        </w:rPr>
      </w:pPr>
      <w:r w:rsidRPr="00F87490">
        <w:rPr>
          <w:rStyle w:val="FootnoteReference"/>
          <w:sz w:val="24"/>
          <w:lang w:val="lv-LV"/>
        </w:rPr>
        <w:footnoteRef/>
      </w:r>
      <w:r w:rsidR="00F87490" w:rsidRPr="00F87490">
        <w:rPr>
          <w:sz w:val="24"/>
          <w:lang w:val="lv-LV"/>
        </w:rPr>
        <w:t xml:space="preserve"> </w:t>
      </w:r>
      <w:r w:rsidR="00F87490" w:rsidRPr="00F87490">
        <w:rPr>
          <w:sz w:val="24"/>
          <w:lang w:val="lv-LV"/>
        </w:rPr>
        <w:tab/>
      </w:r>
      <w:r w:rsidRPr="00F87490">
        <w:rPr>
          <w:sz w:val="24"/>
          <w:lang w:val="lv-LV"/>
        </w:rPr>
        <w:t xml:space="preserve">OV C, </w:t>
      </w:r>
      <w:r w:rsidR="002E1359">
        <w:rPr>
          <w:sz w:val="24"/>
          <w:lang w:val="lv-LV"/>
        </w:rPr>
        <w:t>C/</w:t>
      </w:r>
      <w:r w:rsidRPr="00F87490">
        <w:rPr>
          <w:sz w:val="24"/>
          <w:lang w:val="lv-LV"/>
        </w:rPr>
        <w:t xml:space="preserve">2024/5048, 16.8.2024., ELI: </w:t>
      </w:r>
      <w:hyperlink r:id="rId1" w:tgtFrame="_blank" w:tooltip="Piekļuve dokumentam ar tā ELI URI." w:history="1">
        <w:r w:rsidRPr="00F87490">
          <w:rPr>
            <w:rStyle w:val="Hyperlink"/>
            <w:sz w:val="24"/>
            <w:lang w:val="lv-LV"/>
          </w:rPr>
          <w:t>http://data.europa.eu/eli/C/2024/5048/oj</w:t>
        </w:r>
      </w:hyperlink>
      <w:r w:rsidRPr="00F87490">
        <w:rPr>
          <w:sz w:val="24"/>
          <w:lang w:val="lv-LV"/>
        </w:rPr>
        <w:t>.</w:t>
      </w:r>
    </w:p>
  </w:footnote>
  <w:footnote w:id="2">
    <w:p w14:paraId="2C6E93D9" w14:textId="18EE52BF" w:rsidR="00BB1389" w:rsidRPr="00F87490" w:rsidRDefault="00BB1389" w:rsidP="00F87490">
      <w:pPr>
        <w:pStyle w:val="FootnoteText"/>
        <w:ind w:left="567" w:hanging="567"/>
        <w:rPr>
          <w:sz w:val="24"/>
          <w:lang w:val="lv-LV"/>
        </w:rPr>
      </w:pPr>
      <w:r w:rsidRPr="00F87490">
        <w:rPr>
          <w:rStyle w:val="FootnoteReference"/>
          <w:sz w:val="24"/>
          <w:lang w:val="lv-LV"/>
        </w:rPr>
        <w:footnoteRef/>
      </w:r>
      <w:r w:rsidR="00F87490" w:rsidRPr="00F87490">
        <w:rPr>
          <w:sz w:val="24"/>
          <w:lang w:val="lv-LV"/>
        </w:rPr>
        <w:t xml:space="preserve"> </w:t>
      </w:r>
      <w:r w:rsidR="00F87490" w:rsidRPr="00F87490">
        <w:rPr>
          <w:sz w:val="24"/>
          <w:lang w:val="lv-LV"/>
        </w:rPr>
        <w:tab/>
      </w:r>
      <w:r w:rsidRPr="00F87490">
        <w:rPr>
          <w:sz w:val="24"/>
          <w:lang w:val="lv-LV"/>
        </w:rPr>
        <w:t xml:space="preserve">OV C, </w:t>
      </w:r>
      <w:r w:rsidR="002E1359">
        <w:rPr>
          <w:sz w:val="24"/>
          <w:lang w:val="lv-LV"/>
        </w:rPr>
        <w:t>C/</w:t>
      </w:r>
      <w:r w:rsidRPr="00F87490">
        <w:rPr>
          <w:sz w:val="24"/>
          <w:lang w:val="lv-LV"/>
        </w:rPr>
        <w:t xml:space="preserve">2024/2485, 23.4.2024., ELI: </w:t>
      </w:r>
      <w:hyperlink r:id="rId2" w:history="1">
        <w:r w:rsidRPr="00F87490">
          <w:rPr>
            <w:rStyle w:val="Hyperlink"/>
            <w:sz w:val="24"/>
            <w:lang w:val="lv-LV"/>
          </w:rPr>
          <w:t>http://data.europa.eu/eli/C/2024/2485/oj</w:t>
        </w:r>
      </w:hyperlink>
      <w:r w:rsidRPr="00F87490">
        <w:rPr>
          <w:sz w:val="24"/>
          <w:lang w:val="lv-LV"/>
        </w:rPr>
        <w:t>.</w:t>
      </w:r>
    </w:p>
  </w:footnote>
  <w:footnote w:id="3">
    <w:p w14:paraId="292AC3D6" w14:textId="68F72151" w:rsidR="00BB1389" w:rsidRPr="00F87490" w:rsidRDefault="00BB1389" w:rsidP="00F87490">
      <w:pPr>
        <w:pStyle w:val="FootnoteText"/>
        <w:ind w:left="567" w:hanging="567"/>
        <w:rPr>
          <w:sz w:val="24"/>
          <w:lang w:val="lv-LV"/>
        </w:rPr>
      </w:pPr>
      <w:r w:rsidRPr="00F87490">
        <w:rPr>
          <w:rStyle w:val="FootnoteReference"/>
          <w:sz w:val="24"/>
          <w:lang w:val="lv-LV"/>
        </w:rPr>
        <w:footnoteRef/>
      </w:r>
      <w:r w:rsidR="00F87490" w:rsidRPr="00F87490">
        <w:rPr>
          <w:sz w:val="24"/>
          <w:lang w:val="lv-LV"/>
        </w:rPr>
        <w:t xml:space="preserve"> </w:t>
      </w:r>
      <w:r w:rsidR="00F87490" w:rsidRPr="00F87490">
        <w:rPr>
          <w:sz w:val="24"/>
          <w:lang w:val="lv-LV"/>
        </w:rPr>
        <w:tab/>
      </w:r>
      <w:r w:rsidR="00931915" w:rsidRPr="00A30945">
        <w:rPr>
          <w:sz w:val="24"/>
          <w:lang w:val="da-DK"/>
        </w:rPr>
        <w:t>OV C, C/2025/1021, 27.2.2025., ELI: </w:t>
      </w:r>
      <w:hyperlink r:id="rId3" w:tgtFrame="_blank" w:tooltip="Gives access to this document through its ELI URI." w:history="1">
        <w:r w:rsidR="00931915" w:rsidRPr="00A30945">
          <w:rPr>
            <w:rStyle w:val="Hyperlink"/>
            <w:sz w:val="24"/>
            <w:lang w:val="da-DK"/>
          </w:rPr>
          <w:t>http://data.europa.eu/eli/C/2025/1021/oj</w:t>
        </w:r>
      </w:hyperlink>
      <w:r w:rsidR="00931915" w:rsidRPr="00A30945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41360" w14:textId="77777777" w:rsidR="00064002" w:rsidRPr="00F874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2FD9E" w14:textId="77777777" w:rsidR="00064002" w:rsidRPr="00F874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619B6" w14:textId="77777777" w:rsidR="00064002" w:rsidRPr="00F874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7695220">
    <w:abstractNumId w:val="9"/>
  </w:num>
  <w:num w:numId="2" w16cid:durableId="407314259">
    <w:abstractNumId w:val="9"/>
  </w:num>
  <w:num w:numId="3" w16cid:durableId="911235342">
    <w:abstractNumId w:val="7"/>
  </w:num>
  <w:num w:numId="4" w16cid:durableId="883324939">
    <w:abstractNumId w:val="7"/>
  </w:num>
  <w:num w:numId="5" w16cid:durableId="1802460556">
    <w:abstractNumId w:val="6"/>
  </w:num>
  <w:num w:numId="6" w16cid:durableId="1570309893">
    <w:abstractNumId w:val="6"/>
  </w:num>
  <w:num w:numId="7" w16cid:durableId="178546156">
    <w:abstractNumId w:val="5"/>
  </w:num>
  <w:num w:numId="8" w16cid:durableId="1081365457">
    <w:abstractNumId w:val="5"/>
  </w:num>
  <w:num w:numId="9" w16cid:durableId="600651858">
    <w:abstractNumId w:val="4"/>
  </w:num>
  <w:num w:numId="10" w16cid:durableId="2060938343">
    <w:abstractNumId w:val="4"/>
  </w:num>
  <w:num w:numId="11" w16cid:durableId="1221600245">
    <w:abstractNumId w:val="8"/>
  </w:num>
  <w:num w:numId="12" w16cid:durableId="1212644488">
    <w:abstractNumId w:val="8"/>
  </w:num>
  <w:num w:numId="13" w16cid:durableId="213081085">
    <w:abstractNumId w:val="3"/>
  </w:num>
  <w:num w:numId="14" w16cid:durableId="1304656259">
    <w:abstractNumId w:val="3"/>
  </w:num>
  <w:num w:numId="15" w16cid:durableId="2009013263">
    <w:abstractNumId w:val="2"/>
  </w:num>
  <w:num w:numId="16" w16cid:durableId="1818909364">
    <w:abstractNumId w:val="2"/>
  </w:num>
  <w:num w:numId="17" w16cid:durableId="1427732614">
    <w:abstractNumId w:val="1"/>
  </w:num>
  <w:num w:numId="18" w16cid:durableId="292951555">
    <w:abstractNumId w:val="1"/>
  </w:num>
  <w:num w:numId="19" w16cid:durableId="2023773644">
    <w:abstractNumId w:val="0"/>
  </w:num>
  <w:num w:numId="20" w16cid:durableId="2062240351">
    <w:abstractNumId w:val="0"/>
  </w:num>
  <w:num w:numId="21" w16cid:durableId="5716714">
    <w:abstractNumId w:val="9"/>
  </w:num>
  <w:num w:numId="22" w16cid:durableId="1809976207">
    <w:abstractNumId w:val="7"/>
  </w:num>
  <w:num w:numId="23" w16cid:durableId="1781797365">
    <w:abstractNumId w:val="6"/>
  </w:num>
  <w:num w:numId="24" w16cid:durableId="806556244">
    <w:abstractNumId w:val="5"/>
  </w:num>
  <w:num w:numId="25" w16cid:durableId="1029990378">
    <w:abstractNumId w:val="4"/>
  </w:num>
  <w:num w:numId="26" w16cid:durableId="2138328063">
    <w:abstractNumId w:val="8"/>
  </w:num>
  <w:num w:numId="27" w16cid:durableId="870923488">
    <w:abstractNumId w:val="3"/>
  </w:num>
  <w:num w:numId="28" w16cid:durableId="1547790286">
    <w:abstractNumId w:val="2"/>
  </w:num>
  <w:num w:numId="29" w16cid:durableId="999505354">
    <w:abstractNumId w:val="1"/>
  </w:num>
  <w:num w:numId="30" w16cid:durableId="1290547681">
    <w:abstractNumId w:val="0"/>
  </w:num>
  <w:num w:numId="31" w16cid:durableId="1306278529">
    <w:abstractNumId w:val="9"/>
  </w:num>
  <w:num w:numId="32" w16cid:durableId="2060089673">
    <w:abstractNumId w:val="7"/>
  </w:num>
  <w:num w:numId="33" w16cid:durableId="1350908626">
    <w:abstractNumId w:val="6"/>
  </w:num>
  <w:num w:numId="34" w16cid:durableId="750741961">
    <w:abstractNumId w:val="5"/>
  </w:num>
  <w:num w:numId="35" w16cid:durableId="1292785599">
    <w:abstractNumId w:val="4"/>
  </w:num>
  <w:num w:numId="36" w16cid:durableId="1712419298">
    <w:abstractNumId w:val="8"/>
  </w:num>
  <w:num w:numId="37" w16cid:durableId="1818841840">
    <w:abstractNumId w:val="3"/>
  </w:num>
  <w:num w:numId="38" w16cid:durableId="1332489341">
    <w:abstractNumId w:val="2"/>
  </w:num>
  <w:num w:numId="39" w16cid:durableId="900019650">
    <w:abstractNumId w:val="1"/>
  </w:num>
  <w:num w:numId="40" w16cid:durableId="332881401">
    <w:abstractNumId w:val="0"/>
  </w:num>
  <w:num w:numId="41" w16cid:durableId="1516917182">
    <w:abstractNumId w:val="10"/>
  </w:num>
  <w:num w:numId="42" w16cid:durableId="464592377">
    <w:abstractNumId w:val="10"/>
  </w:num>
  <w:num w:numId="43" w16cid:durableId="1248803061">
    <w:abstractNumId w:val="10"/>
  </w:num>
  <w:num w:numId="44" w16cid:durableId="21062255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LV"/>
    <w:docVar w:name="dvnumam" w:val="0"/>
    <w:docVar w:name="dvpe" w:val="777.025"/>
    <w:docVar w:name="dvrapporteur" w:val="Referents: "/>
    <w:docVar w:name="dvstar" w:val="***II"/>
    <w:docVar w:name="dvtitre" w:val="Eiropas Parlamenta 2025. gada XX. XXX normatīvā rezolūcija par Padomes nostāju pirmajā lasījumā, lai pieņemtu Eiropas Parlamenta un Padomes regulu, ar ko groza Regulas (ES) Nr. 1092/2010, (ES) Nr. 1093/2010, (ES) Nr. 1094/2010, (ES) Nr. 1095/2010, (ES) Nr. 806/2014, (ES) 2021/523 un (ES) 2024/1620 attiecībā uz dažām ziņošanas prasībām finanšu pakalpojumu un ieguldījumu atbalsta jomā(07377/1/2025 – C10-0196/2025 – 2023/0363(COD))"/>
  </w:docVars>
  <w:rsids>
    <w:rsidRoot w:val="00D30B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0F0"/>
    <w:rsid w:val="002767FF"/>
    <w:rsid w:val="002B18FE"/>
    <w:rsid w:val="002B5493"/>
    <w:rsid w:val="002E1359"/>
    <w:rsid w:val="00343214"/>
    <w:rsid w:val="00361C00"/>
    <w:rsid w:val="00395FA1"/>
    <w:rsid w:val="003B161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F95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662"/>
    <w:rsid w:val="00865F67"/>
    <w:rsid w:val="00881A7B"/>
    <w:rsid w:val="008840E5"/>
    <w:rsid w:val="00887B3E"/>
    <w:rsid w:val="008C2AC6"/>
    <w:rsid w:val="00930C23"/>
    <w:rsid w:val="00931915"/>
    <w:rsid w:val="0093193B"/>
    <w:rsid w:val="009509D8"/>
    <w:rsid w:val="00950B64"/>
    <w:rsid w:val="00981893"/>
    <w:rsid w:val="00A1687D"/>
    <w:rsid w:val="00A3094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38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B4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49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BCFB2"/>
  <w15:chartTrackingRefBased/>
  <w15:docId w15:val="{732B26BF-FFDC-496B-B727-2C5B3D8B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1389"/>
    <w:pPr>
      <w:spacing w:before="480" w:after="240"/>
    </w:pPr>
  </w:style>
  <w:style w:type="paragraph" w:customStyle="1" w:styleId="NormalBold">
    <w:name w:val="NormalBold"/>
    <w:basedOn w:val="Normal"/>
    <w:rsid w:val="00BB1389"/>
    <w:rPr>
      <w:b/>
    </w:rPr>
  </w:style>
  <w:style w:type="paragraph" w:customStyle="1" w:styleId="NormalBold12a">
    <w:name w:val="NormalBold12a"/>
    <w:basedOn w:val="Normal"/>
    <w:rsid w:val="00BB138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B1389"/>
    <w:pPr>
      <w:spacing w:after="240"/>
      <w:ind w:left="567" w:hanging="567"/>
    </w:pPr>
  </w:style>
  <w:style w:type="character" w:styleId="Hyperlink">
    <w:name w:val="Hyperlink"/>
    <w:basedOn w:val="DefaultParagraphFont"/>
    <w:rsid w:val="00BB138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31915"/>
    <w:rPr>
      <w:sz w:val="24"/>
      <w:lang w:val="lv-LV"/>
    </w:rPr>
  </w:style>
  <w:style w:type="character" w:styleId="CommentReference">
    <w:name w:val="annotation reference"/>
    <w:basedOn w:val="DefaultParagraphFont"/>
    <w:rsid w:val="009319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19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1915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9319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1915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2025-12-16T15:13:00Z</dcterms:created>
  <dcterms:modified xsi:type="dcterms:W3CDTF">2025-12-16T15:13:00Z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