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6787" w14:paraId="57329C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DC5AD9" w14:textId="77777777" w:rsidR="00751A4A" w:rsidRPr="00666787" w:rsidRDefault="004904BC" w:rsidP="0010095E">
            <w:pPr>
              <w:pStyle w:val="EPName"/>
            </w:pPr>
            <w:r w:rsidRPr="00666787">
              <w:t>Európsky parlament</w:t>
            </w:r>
          </w:p>
          <w:p w14:paraId="6495F638" w14:textId="77777777" w:rsidR="00751A4A" w:rsidRPr="006667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6787">
              <w:t>2024</w:t>
            </w:r>
            <w:r w:rsidR="00817416" w:rsidRPr="00666787">
              <w:t>-202</w:t>
            </w:r>
            <w:r w:rsidRPr="00666787">
              <w:t>9</w:t>
            </w:r>
          </w:p>
        </w:tc>
        <w:tc>
          <w:tcPr>
            <w:tcW w:w="2268" w:type="dxa"/>
            <w:shd w:val="clear" w:color="auto" w:fill="auto"/>
          </w:tcPr>
          <w:p w14:paraId="6813B5CE" w14:textId="77777777" w:rsidR="00751A4A" w:rsidRPr="00666787" w:rsidRDefault="00187494" w:rsidP="0010095E">
            <w:pPr>
              <w:pStyle w:val="EPLogo"/>
            </w:pPr>
            <w:r w:rsidRPr="00666787">
              <w:rPr>
                <w:noProof/>
                <w:lang w:eastAsia="ja-JP"/>
              </w:rPr>
              <w:drawing>
                <wp:inline distT="0" distB="0" distL="0" distR="0" wp14:anchorId="3FF69DE8" wp14:editId="731491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AB5762" w14:textId="77777777" w:rsidR="00D058B8" w:rsidRPr="00666787" w:rsidRDefault="00D058B8" w:rsidP="004C5D52">
      <w:pPr>
        <w:pStyle w:val="LineTop"/>
      </w:pPr>
    </w:p>
    <w:p w14:paraId="074425DE" w14:textId="77777777" w:rsidR="00680577" w:rsidRPr="00666787" w:rsidRDefault="004904BC" w:rsidP="00680577">
      <w:pPr>
        <w:pStyle w:val="EPBodyTA1"/>
      </w:pPr>
      <w:r w:rsidRPr="00666787">
        <w:t>PRIJATÉ TEXTY</w:t>
      </w:r>
    </w:p>
    <w:p w14:paraId="5C6D7244" w14:textId="77777777" w:rsidR="00D058B8" w:rsidRPr="00666787" w:rsidRDefault="00D058B8" w:rsidP="00D058B8">
      <w:pPr>
        <w:pStyle w:val="LineBottom"/>
      </w:pPr>
    </w:p>
    <w:p w14:paraId="6DC57284" w14:textId="0710C3D0" w:rsidR="004904BC" w:rsidRPr="00666787" w:rsidRDefault="004904BC" w:rsidP="004904BC">
      <w:pPr>
        <w:pStyle w:val="ATHeading1"/>
      </w:pPr>
      <w:bookmarkStart w:id="0" w:name="TANumber"/>
      <w:r w:rsidRPr="00666787">
        <w:t>P10_TA(2025)0</w:t>
      </w:r>
      <w:r w:rsidR="00364F62" w:rsidRPr="00666787">
        <w:t>208</w:t>
      </w:r>
      <w:bookmarkEnd w:id="0"/>
    </w:p>
    <w:p w14:paraId="562F8209" w14:textId="0EFDF0BC" w:rsidR="004904BC" w:rsidRPr="00666787" w:rsidRDefault="004904BC" w:rsidP="004904BC">
      <w:pPr>
        <w:pStyle w:val="ATHeading2"/>
      </w:pPr>
      <w:bookmarkStart w:id="1" w:name="title"/>
      <w:r w:rsidRPr="00666787">
        <w:t>Zmena určitých nariadení v oblastiach finančných služieb a investičnej podpory, pokiaľ ide o</w:t>
      </w:r>
      <w:r w:rsidR="00E747EB" w:rsidRPr="00666787">
        <w:t> </w:t>
      </w:r>
      <w:r w:rsidRPr="00666787">
        <w:t>určité</w:t>
      </w:r>
      <w:r w:rsidR="00E747EB" w:rsidRPr="00666787">
        <w:t xml:space="preserve"> </w:t>
      </w:r>
      <w:r w:rsidRPr="00666787">
        <w:t>požiadavky na podávanie správ</w:t>
      </w:r>
      <w:bookmarkEnd w:id="1"/>
    </w:p>
    <w:p w14:paraId="779C84B5" w14:textId="77777777" w:rsidR="004904BC" w:rsidRPr="00666787" w:rsidRDefault="004904BC" w:rsidP="004904BC">
      <w:pPr>
        <w:rPr>
          <w:i/>
          <w:vanish/>
        </w:rPr>
      </w:pPr>
      <w:r w:rsidRPr="00666787">
        <w:rPr>
          <w:i/>
        </w:rPr>
        <w:fldChar w:fldCharType="begin"/>
      </w:r>
      <w:r w:rsidRPr="00666787">
        <w:rPr>
          <w:i/>
        </w:rPr>
        <w:instrText xml:space="preserve"> TC"(</w:instrText>
      </w:r>
      <w:bookmarkStart w:id="2" w:name="DocNumber"/>
      <w:r w:rsidRPr="00666787">
        <w:rPr>
          <w:i/>
        </w:rPr>
        <w:instrText>A10-0166/2025</w:instrText>
      </w:r>
      <w:bookmarkEnd w:id="2"/>
      <w:r w:rsidRPr="00666787">
        <w:rPr>
          <w:i/>
        </w:rPr>
        <w:instrText xml:space="preserve"> - Spravodajca: Paulius Saudargas)"\l3 \n&gt; \* MERGEFORMAT </w:instrText>
      </w:r>
      <w:r w:rsidRPr="00666787">
        <w:rPr>
          <w:i/>
        </w:rPr>
        <w:fldChar w:fldCharType="end"/>
      </w:r>
    </w:p>
    <w:p w14:paraId="4A9C141B" w14:textId="77777777" w:rsidR="004904BC" w:rsidRPr="00666787" w:rsidRDefault="004904BC" w:rsidP="004904BC">
      <w:pPr>
        <w:rPr>
          <w:vanish/>
        </w:rPr>
      </w:pPr>
      <w:bookmarkStart w:id="3" w:name="Commission"/>
      <w:r w:rsidRPr="00666787">
        <w:rPr>
          <w:vanish/>
        </w:rPr>
        <w:t>Výbor pre hospodárske a menové veci</w:t>
      </w:r>
      <w:bookmarkEnd w:id="3"/>
    </w:p>
    <w:p w14:paraId="60BC2F7E" w14:textId="77777777" w:rsidR="004904BC" w:rsidRPr="00666787" w:rsidRDefault="004904BC" w:rsidP="004904BC">
      <w:pPr>
        <w:rPr>
          <w:vanish/>
        </w:rPr>
      </w:pPr>
      <w:bookmarkStart w:id="4" w:name="PE"/>
      <w:r w:rsidRPr="00666787">
        <w:rPr>
          <w:vanish/>
        </w:rPr>
        <w:t>PE777.025</w:t>
      </w:r>
      <w:bookmarkEnd w:id="4"/>
    </w:p>
    <w:p w14:paraId="2E76CCE4" w14:textId="78F20C06" w:rsidR="004904BC" w:rsidRPr="00666787" w:rsidRDefault="004904BC" w:rsidP="004904BC">
      <w:pPr>
        <w:pStyle w:val="ATHeading3"/>
      </w:pPr>
      <w:bookmarkStart w:id="5" w:name="Sujet"/>
      <w:r w:rsidRPr="00666787">
        <w:t>Legislatívne uznesenie Európskeho parlamentu z</w:t>
      </w:r>
      <w:r w:rsidR="00E747EB" w:rsidRPr="00666787">
        <w:t>o</w:t>
      </w:r>
      <w:r w:rsidRPr="00666787">
        <w:t xml:space="preserve"> </w:t>
      </w:r>
      <w:r w:rsidR="00E747EB" w:rsidRPr="00666787">
        <w:t>7</w:t>
      </w:r>
      <w:r w:rsidRPr="00666787">
        <w:t>. októbra 2025 k pozícii Rady v prvom čítaní na účely prijatia nariadenia Európskeho parlamentu a Rady, ktorým sa menia nariadenia (EÚ) č. 1092/2010, (EÚ) č. 1093/2010, (EÚ) č. 1094/2010, (EÚ) č. 1095/2010, (EÚ) č. 806/2014, (EÚ) 2021/523 a (EÚ) 2024/1620, pokiaľ ide o určité požiadavky na podávanie správ v oblasti finančných služieb a investičnej podpory</w:t>
      </w:r>
      <w:bookmarkEnd w:id="5"/>
      <w:r w:rsidRPr="00666787">
        <w:t xml:space="preserve"> </w:t>
      </w:r>
      <w:bookmarkStart w:id="6" w:name="References"/>
      <w:r w:rsidRPr="00666787">
        <w:t>(07377/1/2025 – C10-0196/2025 – 2023/0363(COD))</w:t>
      </w:r>
      <w:bookmarkEnd w:id="6"/>
    </w:p>
    <w:p w14:paraId="1E9F11AF" w14:textId="77777777" w:rsidR="004904BC" w:rsidRPr="00666787" w:rsidRDefault="004904BC" w:rsidP="004904BC"/>
    <w:p w14:paraId="1A7EB722" w14:textId="77777777" w:rsidR="00CB77C8" w:rsidRPr="00666787" w:rsidRDefault="00CB77C8" w:rsidP="00CB77C8">
      <w:pPr>
        <w:pStyle w:val="NormalBold"/>
      </w:pPr>
      <w:bookmarkStart w:id="7" w:name="TextBodyBegin"/>
      <w:bookmarkEnd w:id="7"/>
      <w:r w:rsidRPr="00666787">
        <w:t>(Riadny legislatívny postup: druhé čítanie)</w:t>
      </w:r>
    </w:p>
    <w:p w14:paraId="0A445D3C" w14:textId="77777777" w:rsidR="00CB77C8" w:rsidRPr="00666787" w:rsidRDefault="00CB77C8" w:rsidP="00CB77C8">
      <w:pPr>
        <w:pStyle w:val="EPComma"/>
      </w:pPr>
      <w:r w:rsidRPr="00666787">
        <w:rPr>
          <w:i/>
          <w:iCs/>
        </w:rPr>
        <w:t>Európsky parlament</w:t>
      </w:r>
      <w:r w:rsidRPr="00666787">
        <w:t>,</w:t>
      </w:r>
    </w:p>
    <w:p w14:paraId="7BB97E04" w14:textId="77777777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pozíciu Rady v prvom čítaní (07377/1/2025 – C10</w:t>
      </w:r>
      <w:r w:rsidRPr="00666787">
        <w:noBreakHyphen/>
        <w:t>0196/2025),</w:t>
      </w:r>
    </w:p>
    <w:p w14:paraId="16245AA3" w14:textId="77777777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stanovisko Európskej centrálnej banky z 21. júna 2024</w:t>
      </w:r>
      <w:r w:rsidRPr="00666787">
        <w:rPr>
          <w:rStyle w:val="FootnoteReference"/>
        </w:rPr>
        <w:footnoteReference w:id="1"/>
      </w:r>
      <w:r w:rsidRPr="00666787">
        <w:t>,</w:t>
      </w:r>
    </w:p>
    <w:p w14:paraId="0BB5EA5F" w14:textId="77777777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stanovisko Európskeho hospodárskeho a sociálneho výboru zo 14. februára 2024</w:t>
      </w:r>
      <w:r w:rsidRPr="00666787">
        <w:rPr>
          <w:rStyle w:val="FootnoteReference"/>
        </w:rPr>
        <w:footnoteReference w:id="2"/>
      </w:r>
      <w:r w:rsidRPr="00666787">
        <w:t>,</w:t>
      </w:r>
    </w:p>
    <w:p w14:paraId="5CECF91B" w14:textId="375E3411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</w:r>
      <w:r w:rsidR="00E747EB" w:rsidRPr="00666787">
        <w:t>po porade s</w:t>
      </w:r>
      <w:r w:rsidRPr="00666787">
        <w:t xml:space="preserve"> Výbor</w:t>
      </w:r>
      <w:r w:rsidR="00E747EB" w:rsidRPr="00666787">
        <w:t>om</w:t>
      </w:r>
      <w:r w:rsidRPr="00666787">
        <w:t xml:space="preserve"> regiónov,</w:t>
      </w:r>
    </w:p>
    <w:p w14:paraId="0A1D5C4D" w14:textId="77777777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svoju pozíciu v prvom čítaní</w:t>
      </w:r>
      <w:r w:rsidRPr="00666787">
        <w:rPr>
          <w:rStyle w:val="FootnoteReference"/>
        </w:rPr>
        <w:footnoteReference w:id="3"/>
      </w:r>
      <w:r w:rsidRPr="00666787">
        <w:t xml:space="preserve"> k návrhu Komisie pre Európsky parlament a Radu (COM(2023)0593),</w:t>
      </w:r>
    </w:p>
    <w:p w14:paraId="236AA122" w14:textId="77777777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článok 294 ods. 7 Zmluvy o fungovaní Európskej únie,</w:t>
      </w:r>
    </w:p>
    <w:p w14:paraId="4CB460CE" w14:textId="77777777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predbežnú dohodu schválenú gestorským výborom podľa článku 75 ods. 4 rokovacieho poriadku,</w:t>
      </w:r>
    </w:p>
    <w:p w14:paraId="3EF2954E" w14:textId="77777777" w:rsidR="00CB77C8" w:rsidRPr="00666787" w:rsidRDefault="00CB77C8" w:rsidP="00CB77C8">
      <w:pPr>
        <w:pStyle w:val="NormalHanging12a"/>
      </w:pPr>
      <w:r w:rsidRPr="00666787">
        <w:lastRenderedPageBreak/>
        <w:t>–</w:t>
      </w:r>
      <w:r w:rsidRPr="00666787">
        <w:tab/>
        <w:t>so zreteľom na článok 68 rokovacieho poriadku,</w:t>
      </w:r>
    </w:p>
    <w:p w14:paraId="7B569C56" w14:textId="34004D63" w:rsidR="00CB77C8" w:rsidRPr="00666787" w:rsidRDefault="00CB77C8" w:rsidP="00CB77C8">
      <w:pPr>
        <w:pStyle w:val="NormalHanging12a"/>
      </w:pPr>
      <w:r w:rsidRPr="00666787">
        <w:t>–</w:t>
      </w:r>
      <w:r w:rsidRPr="00666787">
        <w:tab/>
        <w:t>so zreteľom na odporúčanie Výboru pre hospodárske a menové veci do druhého čítania (A10-0166/2025),</w:t>
      </w:r>
    </w:p>
    <w:p w14:paraId="44B888A0" w14:textId="77777777" w:rsidR="00CB77C8" w:rsidRPr="00666787" w:rsidRDefault="00CB77C8" w:rsidP="00CB77C8">
      <w:pPr>
        <w:pStyle w:val="NormalHanging12a"/>
      </w:pPr>
      <w:r w:rsidRPr="00666787">
        <w:t>1.</w:t>
      </w:r>
      <w:r w:rsidRPr="00666787">
        <w:tab/>
        <w:t>schvaľuje pozíciu Rady v prvom čítaní;</w:t>
      </w:r>
    </w:p>
    <w:p w14:paraId="765E45DA" w14:textId="77777777" w:rsidR="00CB77C8" w:rsidRPr="00666787" w:rsidRDefault="00CB77C8" w:rsidP="00CB77C8">
      <w:pPr>
        <w:pStyle w:val="NormalHanging12a"/>
      </w:pPr>
      <w:r w:rsidRPr="00666787">
        <w:t>2.</w:t>
      </w:r>
      <w:r w:rsidRPr="00666787">
        <w:tab/>
        <w:t>konštatuje, že akt bol prijatý v súlade s pozíciou Rady;</w:t>
      </w:r>
    </w:p>
    <w:p w14:paraId="19AAB355" w14:textId="77777777" w:rsidR="00CB77C8" w:rsidRPr="00666787" w:rsidRDefault="00CB77C8" w:rsidP="00CB77C8">
      <w:pPr>
        <w:pStyle w:val="NormalHanging12a"/>
      </w:pPr>
      <w:r w:rsidRPr="00666787">
        <w:t>3.</w:t>
      </w:r>
      <w:r w:rsidRPr="00666787">
        <w:tab/>
        <w:t>poveruje svoju predsedníčku, aby podpísala akt spoločne s predsedom Rady v súlade s článkom 297 ods. 1 Zmluvy o fungovaní Európskej únie;</w:t>
      </w:r>
    </w:p>
    <w:p w14:paraId="44AE9686" w14:textId="77777777" w:rsidR="00CB77C8" w:rsidRPr="00666787" w:rsidRDefault="00CB77C8" w:rsidP="00CB77C8">
      <w:pPr>
        <w:pStyle w:val="NormalHanging12a"/>
      </w:pPr>
      <w:r w:rsidRPr="00666787">
        <w:t>4.</w:t>
      </w:r>
      <w:r w:rsidRPr="00666787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666787">
        <w:rPr>
          <w:i/>
          <w:iCs/>
        </w:rPr>
        <w:t>Úradnom vestníku Európskej únie</w:t>
      </w:r>
      <w:r w:rsidRPr="00666787">
        <w:t>;</w:t>
      </w:r>
    </w:p>
    <w:p w14:paraId="6B75B800" w14:textId="3F09055C" w:rsidR="00E365E1" w:rsidRPr="00666787" w:rsidRDefault="00CB77C8" w:rsidP="00E747EB">
      <w:pPr>
        <w:pStyle w:val="NormalHanging12a"/>
      </w:pPr>
      <w:r w:rsidRPr="00666787">
        <w:t>5.</w:t>
      </w:r>
      <w:r w:rsidRPr="00666787">
        <w:tab/>
        <w:t>poveruje svoju predsedníčku, aby postúpila túto pozíciu Rade, Komisii a národným parlamentom.</w:t>
      </w:r>
    </w:p>
    <w:sectPr w:rsidR="00E365E1" w:rsidRPr="00666787" w:rsidSect="008E00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92E4D" w14:textId="77777777" w:rsidR="004904BC" w:rsidRPr="008E0067" w:rsidRDefault="004904BC">
      <w:r w:rsidRPr="008E0067">
        <w:separator/>
      </w:r>
    </w:p>
  </w:endnote>
  <w:endnote w:type="continuationSeparator" w:id="0">
    <w:p w14:paraId="266E8FA6" w14:textId="77777777" w:rsidR="004904BC" w:rsidRPr="008E0067" w:rsidRDefault="004904BC">
      <w:r w:rsidRPr="008E0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FDEE" w14:textId="77777777" w:rsidR="00064002" w:rsidRPr="008E00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468BF" w14:textId="77777777" w:rsidR="00064002" w:rsidRPr="008E00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9BCAF" w14:textId="77777777" w:rsidR="00064002" w:rsidRPr="008E00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5A7D" w14:textId="77777777" w:rsidR="004904BC" w:rsidRPr="008E0067" w:rsidRDefault="004904BC">
      <w:r w:rsidRPr="008E0067">
        <w:separator/>
      </w:r>
    </w:p>
  </w:footnote>
  <w:footnote w:type="continuationSeparator" w:id="0">
    <w:p w14:paraId="57207C58" w14:textId="77777777" w:rsidR="004904BC" w:rsidRPr="008E0067" w:rsidRDefault="004904BC">
      <w:r w:rsidRPr="008E0067">
        <w:continuationSeparator/>
      </w:r>
    </w:p>
  </w:footnote>
  <w:footnote w:id="1">
    <w:p w14:paraId="7AD7FCCD" w14:textId="28B95316" w:rsidR="00CB77C8" w:rsidRPr="008E0067" w:rsidRDefault="00CB77C8" w:rsidP="008E0067">
      <w:pPr>
        <w:pStyle w:val="FootnoteText"/>
        <w:ind w:left="567" w:hanging="567"/>
        <w:rPr>
          <w:sz w:val="24"/>
          <w:lang w:val="sk-SK"/>
        </w:rPr>
      </w:pPr>
      <w:r w:rsidRPr="008E0067">
        <w:rPr>
          <w:rStyle w:val="FootnoteReference"/>
          <w:sz w:val="24"/>
          <w:lang w:val="sk-SK"/>
        </w:rPr>
        <w:footnoteRef/>
      </w:r>
      <w:r w:rsidR="008E0067" w:rsidRPr="008E0067">
        <w:rPr>
          <w:sz w:val="24"/>
          <w:lang w:val="sk-SK"/>
        </w:rPr>
        <w:t xml:space="preserve"> </w:t>
      </w:r>
      <w:r w:rsidR="008E0067" w:rsidRPr="008E0067">
        <w:rPr>
          <w:sz w:val="24"/>
          <w:lang w:val="sk-SK"/>
        </w:rPr>
        <w:tab/>
      </w:r>
      <w:r w:rsidRPr="008E0067">
        <w:rPr>
          <w:sz w:val="24"/>
          <w:lang w:val="sk-SK"/>
        </w:rPr>
        <w:t xml:space="preserve">Ú. v. EÚ C, </w:t>
      </w:r>
      <w:r w:rsidR="00E747EB">
        <w:rPr>
          <w:sz w:val="24"/>
          <w:lang w:val="sk-SK"/>
        </w:rPr>
        <w:t>C/</w:t>
      </w:r>
      <w:r w:rsidRPr="008E0067">
        <w:rPr>
          <w:sz w:val="24"/>
          <w:lang w:val="sk-SK"/>
        </w:rPr>
        <w:t xml:space="preserve">2024/5048, 16.8.2024, ELI: </w:t>
      </w:r>
      <w:hyperlink r:id="rId1" w:tgtFrame="_blank" w:tooltip="Umožňuje prístup k tomuto dokumentu prostredníctvom identifikátora URI používaného v rámci ELI." w:history="1">
        <w:r w:rsidRPr="008E0067">
          <w:rPr>
            <w:rStyle w:val="Hyperlink"/>
            <w:sz w:val="24"/>
            <w:lang w:val="sk-SK"/>
          </w:rPr>
          <w:t>http://data.europa.eu/eli/C/2024/5048/oj</w:t>
        </w:r>
      </w:hyperlink>
      <w:r w:rsidRPr="008E0067">
        <w:rPr>
          <w:sz w:val="24"/>
          <w:lang w:val="sk-SK"/>
        </w:rPr>
        <w:t>.</w:t>
      </w:r>
    </w:p>
  </w:footnote>
  <w:footnote w:id="2">
    <w:p w14:paraId="4B0A365D" w14:textId="562BB2F8" w:rsidR="00CB77C8" w:rsidRPr="008E0067" w:rsidRDefault="00CB77C8" w:rsidP="008E0067">
      <w:pPr>
        <w:pStyle w:val="FootnoteText"/>
        <w:ind w:left="567" w:hanging="567"/>
        <w:rPr>
          <w:sz w:val="24"/>
          <w:lang w:val="sk-SK"/>
        </w:rPr>
      </w:pPr>
      <w:r w:rsidRPr="008E0067">
        <w:rPr>
          <w:rStyle w:val="FootnoteReference"/>
          <w:sz w:val="24"/>
          <w:lang w:val="sk-SK"/>
        </w:rPr>
        <w:footnoteRef/>
      </w:r>
      <w:r w:rsidR="008E0067" w:rsidRPr="008E0067">
        <w:rPr>
          <w:sz w:val="24"/>
          <w:lang w:val="sk-SK"/>
        </w:rPr>
        <w:t xml:space="preserve"> </w:t>
      </w:r>
      <w:r w:rsidR="008E0067" w:rsidRPr="008E0067">
        <w:rPr>
          <w:sz w:val="24"/>
          <w:lang w:val="sk-SK"/>
        </w:rPr>
        <w:tab/>
      </w:r>
      <w:r w:rsidRPr="008E0067">
        <w:rPr>
          <w:sz w:val="24"/>
          <w:lang w:val="sk-SK"/>
        </w:rPr>
        <w:t>Ú. v. </w:t>
      </w:r>
      <w:r w:rsidRPr="008E0067">
        <w:rPr>
          <w:sz w:val="24"/>
          <w:lang w:val="sk-SK"/>
        </w:rPr>
        <w:t xml:space="preserve">EÚ C, </w:t>
      </w:r>
      <w:r w:rsidR="00E747EB">
        <w:rPr>
          <w:sz w:val="24"/>
          <w:lang w:val="sk-SK"/>
        </w:rPr>
        <w:t>C/</w:t>
      </w:r>
      <w:r w:rsidRPr="008E0067">
        <w:rPr>
          <w:sz w:val="24"/>
          <w:lang w:val="sk-SK"/>
        </w:rPr>
        <w:t xml:space="preserve">2024/2485, 23.4.2024, ELI: </w:t>
      </w:r>
      <w:hyperlink r:id="rId2" w:history="1">
        <w:r w:rsidRPr="008E0067">
          <w:rPr>
            <w:rStyle w:val="Hyperlink"/>
            <w:sz w:val="24"/>
            <w:lang w:val="sk-SK"/>
          </w:rPr>
          <w:t>http://data.europa.eu/eli/C/2024/2485/oj</w:t>
        </w:r>
      </w:hyperlink>
      <w:r w:rsidRPr="008E0067">
        <w:rPr>
          <w:sz w:val="24"/>
          <w:lang w:val="sk-SK"/>
        </w:rPr>
        <w:t>.</w:t>
      </w:r>
    </w:p>
  </w:footnote>
  <w:footnote w:id="3">
    <w:p w14:paraId="61D46B38" w14:textId="217940B8" w:rsidR="00CB77C8" w:rsidRPr="008E0067" w:rsidRDefault="00CB77C8" w:rsidP="008E0067">
      <w:pPr>
        <w:pStyle w:val="FootnoteText"/>
        <w:ind w:left="567" w:hanging="567"/>
        <w:rPr>
          <w:sz w:val="24"/>
          <w:lang w:val="sk-SK"/>
        </w:rPr>
      </w:pPr>
      <w:r w:rsidRPr="008E0067">
        <w:rPr>
          <w:rStyle w:val="FootnoteReference"/>
          <w:sz w:val="24"/>
          <w:lang w:val="sk-SK"/>
        </w:rPr>
        <w:footnoteRef/>
      </w:r>
      <w:r w:rsidR="008E0067" w:rsidRPr="008E0067">
        <w:rPr>
          <w:sz w:val="24"/>
          <w:lang w:val="sk-SK"/>
        </w:rPr>
        <w:t xml:space="preserve"> </w:t>
      </w:r>
      <w:r w:rsidR="008E0067" w:rsidRPr="008E0067">
        <w:rPr>
          <w:sz w:val="24"/>
          <w:lang w:val="sk-SK"/>
        </w:rPr>
        <w:tab/>
      </w:r>
      <w:r w:rsidR="00E747EB" w:rsidRPr="008E0067">
        <w:rPr>
          <w:sz w:val="24"/>
          <w:lang w:val="sk-SK"/>
        </w:rPr>
        <w:t>Ú. v. </w:t>
      </w:r>
      <w:r w:rsidR="00E747EB" w:rsidRPr="008E0067">
        <w:rPr>
          <w:sz w:val="24"/>
          <w:lang w:val="sk-SK"/>
        </w:rPr>
        <w:t>EÚ </w:t>
      </w:r>
      <w:r w:rsidR="00E747EB" w:rsidRPr="00E747EB">
        <w:rPr>
          <w:sz w:val="24"/>
          <w:lang w:val="sk-SK"/>
        </w:rPr>
        <w:t xml:space="preserve">C, C/2025/1021, 27.2.2025, ELI: </w:t>
      </w:r>
      <w:hyperlink r:id="rId3" w:history="1">
        <w:r w:rsidR="00E747EB" w:rsidRPr="00E747EB">
          <w:rPr>
            <w:rStyle w:val="Hyperlink"/>
            <w:sz w:val="24"/>
            <w:lang w:val="sk-SK"/>
          </w:rPr>
          <w:t>http://data.europa.eu/eli/C/2025/1021/oj</w:t>
        </w:r>
      </w:hyperlink>
      <w:r w:rsidRPr="008E006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80B9" w14:textId="77777777" w:rsidR="00064002" w:rsidRPr="008E00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D4B3" w14:textId="77777777" w:rsidR="00064002" w:rsidRPr="008E00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58C2" w14:textId="77777777" w:rsidR="00064002" w:rsidRPr="008E00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8254988">
    <w:abstractNumId w:val="9"/>
  </w:num>
  <w:num w:numId="2" w16cid:durableId="163253741">
    <w:abstractNumId w:val="9"/>
  </w:num>
  <w:num w:numId="3" w16cid:durableId="895817337">
    <w:abstractNumId w:val="7"/>
  </w:num>
  <w:num w:numId="4" w16cid:durableId="1275018266">
    <w:abstractNumId w:val="7"/>
  </w:num>
  <w:num w:numId="5" w16cid:durableId="1210453134">
    <w:abstractNumId w:val="6"/>
  </w:num>
  <w:num w:numId="6" w16cid:durableId="2003652553">
    <w:abstractNumId w:val="6"/>
  </w:num>
  <w:num w:numId="7" w16cid:durableId="621035249">
    <w:abstractNumId w:val="5"/>
  </w:num>
  <w:num w:numId="8" w16cid:durableId="1176267234">
    <w:abstractNumId w:val="5"/>
  </w:num>
  <w:num w:numId="9" w16cid:durableId="1125923020">
    <w:abstractNumId w:val="4"/>
  </w:num>
  <w:num w:numId="10" w16cid:durableId="1632857865">
    <w:abstractNumId w:val="4"/>
  </w:num>
  <w:num w:numId="11" w16cid:durableId="1989360227">
    <w:abstractNumId w:val="8"/>
  </w:num>
  <w:num w:numId="12" w16cid:durableId="1086876438">
    <w:abstractNumId w:val="8"/>
  </w:num>
  <w:num w:numId="13" w16cid:durableId="1097560533">
    <w:abstractNumId w:val="3"/>
  </w:num>
  <w:num w:numId="14" w16cid:durableId="74978397">
    <w:abstractNumId w:val="3"/>
  </w:num>
  <w:num w:numId="15" w16cid:durableId="317077481">
    <w:abstractNumId w:val="2"/>
  </w:num>
  <w:num w:numId="16" w16cid:durableId="2025280279">
    <w:abstractNumId w:val="2"/>
  </w:num>
  <w:num w:numId="17" w16cid:durableId="312759050">
    <w:abstractNumId w:val="1"/>
  </w:num>
  <w:num w:numId="18" w16cid:durableId="1035885126">
    <w:abstractNumId w:val="1"/>
  </w:num>
  <w:num w:numId="19" w16cid:durableId="2125222451">
    <w:abstractNumId w:val="0"/>
  </w:num>
  <w:num w:numId="20" w16cid:durableId="429162137">
    <w:abstractNumId w:val="0"/>
  </w:num>
  <w:num w:numId="21" w16cid:durableId="1912500825">
    <w:abstractNumId w:val="9"/>
  </w:num>
  <w:num w:numId="22" w16cid:durableId="1596327219">
    <w:abstractNumId w:val="7"/>
  </w:num>
  <w:num w:numId="23" w16cid:durableId="1129475928">
    <w:abstractNumId w:val="6"/>
  </w:num>
  <w:num w:numId="24" w16cid:durableId="1172574331">
    <w:abstractNumId w:val="5"/>
  </w:num>
  <w:num w:numId="25" w16cid:durableId="1029182959">
    <w:abstractNumId w:val="4"/>
  </w:num>
  <w:num w:numId="26" w16cid:durableId="637492370">
    <w:abstractNumId w:val="8"/>
  </w:num>
  <w:num w:numId="27" w16cid:durableId="1835338369">
    <w:abstractNumId w:val="3"/>
  </w:num>
  <w:num w:numId="28" w16cid:durableId="1040475561">
    <w:abstractNumId w:val="2"/>
  </w:num>
  <w:num w:numId="29" w16cid:durableId="1294023127">
    <w:abstractNumId w:val="1"/>
  </w:num>
  <w:num w:numId="30" w16cid:durableId="967737123">
    <w:abstractNumId w:val="0"/>
  </w:num>
  <w:num w:numId="31" w16cid:durableId="292299443">
    <w:abstractNumId w:val="9"/>
  </w:num>
  <w:num w:numId="32" w16cid:durableId="347102274">
    <w:abstractNumId w:val="7"/>
  </w:num>
  <w:num w:numId="33" w16cid:durableId="288904389">
    <w:abstractNumId w:val="6"/>
  </w:num>
  <w:num w:numId="34" w16cid:durableId="584844603">
    <w:abstractNumId w:val="5"/>
  </w:num>
  <w:num w:numId="35" w16cid:durableId="842014951">
    <w:abstractNumId w:val="4"/>
  </w:num>
  <w:num w:numId="36" w16cid:durableId="163398453">
    <w:abstractNumId w:val="8"/>
  </w:num>
  <w:num w:numId="37" w16cid:durableId="808088489">
    <w:abstractNumId w:val="3"/>
  </w:num>
  <w:num w:numId="38" w16cid:durableId="1222592493">
    <w:abstractNumId w:val="2"/>
  </w:num>
  <w:num w:numId="39" w16cid:durableId="213976295">
    <w:abstractNumId w:val="1"/>
  </w:num>
  <w:num w:numId="40" w16cid:durableId="1193886707">
    <w:abstractNumId w:val="0"/>
  </w:num>
  <w:num w:numId="41" w16cid:durableId="101998706">
    <w:abstractNumId w:val="10"/>
  </w:num>
  <w:num w:numId="42" w16cid:durableId="1488548580">
    <w:abstractNumId w:val="10"/>
  </w:num>
  <w:num w:numId="43" w16cid:durableId="308752535">
    <w:abstractNumId w:val="10"/>
  </w:num>
  <w:num w:numId="44" w16cid:durableId="1652097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SK"/>
    <w:docVar w:name="dvnumam" w:val="0"/>
    <w:docVar w:name="dvpe" w:val="777.025"/>
    <w:docVar w:name="dvrapporteur" w:val="Spravodajca: "/>
    <w:docVar w:name="dvstar" w:val="***II"/>
    <w:docVar w:name="dvtitre" w:val="Legislatívne uznesenie Európskeho parlamentu z xx. októbra 2025 k pozícii Rady v prvom čítaní na účely prijatia nariadenia Európskeho parlamentu a Rady, ktorým sa menia nariadenia (EÚ) č. 1092/2010, (EÚ) č. 1093/2010, (EÚ) č. 1094/2010, (EÚ) č. 1095/2010, (EÚ) č. 806/2014, (EÚ) 2021/523 a (EÚ) 2024/1620, pokiaľ ide o určité požiadavky na podávanie správ v oblasti finančných služieb a investičnej podpory(07377/1/2025 – C10-0196/2025 – 2023/0363(COD))"/>
  </w:docVars>
  <w:rsids>
    <w:rsidRoot w:val="004904BC"/>
    <w:rsid w:val="00002272"/>
    <w:rsid w:val="00022309"/>
    <w:rsid w:val="00064002"/>
    <w:rsid w:val="000677B9"/>
    <w:rsid w:val="000831BA"/>
    <w:rsid w:val="000946CA"/>
    <w:rsid w:val="000A42CC"/>
    <w:rsid w:val="000E7DD9"/>
    <w:rsid w:val="0010095E"/>
    <w:rsid w:val="00125B37"/>
    <w:rsid w:val="00187494"/>
    <w:rsid w:val="001F32AE"/>
    <w:rsid w:val="00267E08"/>
    <w:rsid w:val="002767FF"/>
    <w:rsid w:val="002B18FE"/>
    <w:rsid w:val="002B5493"/>
    <w:rsid w:val="00343214"/>
    <w:rsid w:val="00361C00"/>
    <w:rsid w:val="00364F62"/>
    <w:rsid w:val="00395FA1"/>
    <w:rsid w:val="003C78CC"/>
    <w:rsid w:val="003E15D4"/>
    <w:rsid w:val="00411CCE"/>
    <w:rsid w:val="0041666E"/>
    <w:rsid w:val="00421060"/>
    <w:rsid w:val="00471C19"/>
    <w:rsid w:val="004867E3"/>
    <w:rsid w:val="004904B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787"/>
    <w:rsid w:val="00680577"/>
    <w:rsid w:val="00687B5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06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B9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7C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7E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44A1C"/>
  <w15:chartTrackingRefBased/>
  <w15:docId w15:val="{0E85F77F-353C-40DD-ABB2-2A167223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77C8"/>
    <w:pPr>
      <w:spacing w:before="480" w:after="240"/>
    </w:pPr>
  </w:style>
  <w:style w:type="paragraph" w:customStyle="1" w:styleId="NormalBold">
    <w:name w:val="NormalBold"/>
    <w:basedOn w:val="Normal"/>
    <w:rsid w:val="00CB77C8"/>
    <w:rPr>
      <w:b/>
    </w:rPr>
  </w:style>
  <w:style w:type="paragraph" w:customStyle="1" w:styleId="NormalHanging12a">
    <w:name w:val="NormalHanging12a"/>
    <w:basedOn w:val="Normal"/>
    <w:rsid w:val="00CB77C8"/>
    <w:pPr>
      <w:spacing w:after="240"/>
      <w:ind w:left="567" w:hanging="567"/>
    </w:pPr>
  </w:style>
  <w:style w:type="character" w:styleId="Hyperlink">
    <w:name w:val="Hyperlink"/>
    <w:basedOn w:val="DefaultParagraphFont"/>
    <w:rsid w:val="00CB77C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747EB"/>
    <w:rPr>
      <w:sz w:val="24"/>
      <w:lang w:val="sk-SK"/>
    </w:rPr>
  </w:style>
  <w:style w:type="character" w:styleId="FollowedHyperlink">
    <w:name w:val="FollowedHyperlink"/>
    <w:basedOn w:val="DefaultParagraphFont"/>
    <w:rsid w:val="00E747E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1838</Characters>
  <Application>Microsoft Office Word</Application>
  <DocSecurity>0</DocSecurity>
  <Lines>83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2025-10-07T11:53:00Z</dcterms:created>
  <dcterms:modified xsi:type="dcterms:W3CDTF">2025-10-07T11:53:00Z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A10-0166/2025</vt:lpwstr>
  </property>
  <property fmtid="{D5CDD505-2E9C-101B-9397-08002B2CF9AE}" pid="4" name="&lt;Type&gt;">
    <vt:lpwstr>RR</vt:lpwstr>
  </property>
</Properties>
</file>