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1663" w14:paraId="366257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D10FB5" w14:textId="77777777" w:rsidR="00751A4A" w:rsidRPr="00F31663" w:rsidRDefault="0039639C" w:rsidP="0010095E">
            <w:pPr>
              <w:pStyle w:val="EPName"/>
            </w:pPr>
            <w:r w:rsidRPr="00F31663">
              <w:t>Evropski parlament</w:t>
            </w:r>
          </w:p>
          <w:p w14:paraId="27545CB6" w14:textId="77777777" w:rsidR="00751A4A" w:rsidRPr="00F316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1663">
              <w:t>2024</w:t>
            </w:r>
            <w:r w:rsidR="00817416" w:rsidRPr="00F31663">
              <w:t>-202</w:t>
            </w:r>
            <w:r w:rsidRPr="00F31663">
              <w:t>9</w:t>
            </w:r>
          </w:p>
        </w:tc>
        <w:tc>
          <w:tcPr>
            <w:tcW w:w="2268" w:type="dxa"/>
            <w:shd w:val="clear" w:color="auto" w:fill="auto"/>
          </w:tcPr>
          <w:p w14:paraId="6A75704E" w14:textId="77777777" w:rsidR="00751A4A" w:rsidRPr="00F31663" w:rsidRDefault="00187494" w:rsidP="0010095E">
            <w:pPr>
              <w:pStyle w:val="EPLogo"/>
            </w:pPr>
            <w:r w:rsidRPr="00F31663">
              <w:rPr>
                <w:noProof/>
                <w:lang w:eastAsia="ja-JP"/>
              </w:rPr>
              <w:drawing>
                <wp:inline distT="0" distB="0" distL="0" distR="0" wp14:anchorId="0A1521CE" wp14:editId="67BE7F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BFAF94" w14:textId="77777777" w:rsidR="00D058B8" w:rsidRPr="00F31663" w:rsidRDefault="00D058B8" w:rsidP="004C5D52">
      <w:pPr>
        <w:pStyle w:val="LineTop"/>
      </w:pPr>
    </w:p>
    <w:p w14:paraId="55BFC490" w14:textId="77777777" w:rsidR="00680577" w:rsidRPr="00F31663" w:rsidRDefault="0039639C" w:rsidP="00680577">
      <w:pPr>
        <w:pStyle w:val="EPBodyTA1"/>
      </w:pPr>
      <w:r w:rsidRPr="00F31663">
        <w:t>SPREJETA BESEDILA</w:t>
      </w:r>
    </w:p>
    <w:p w14:paraId="38E4B5A2" w14:textId="77777777" w:rsidR="00D058B8" w:rsidRPr="00F31663" w:rsidRDefault="00D058B8" w:rsidP="00D058B8">
      <w:pPr>
        <w:pStyle w:val="LineBottom"/>
      </w:pPr>
    </w:p>
    <w:p w14:paraId="3918E237" w14:textId="344DE28C" w:rsidR="0039639C" w:rsidRPr="00F31663" w:rsidRDefault="0039639C" w:rsidP="0039639C">
      <w:pPr>
        <w:pStyle w:val="ATHeading1"/>
      </w:pPr>
      <w:bookmarkStart w:id="0" w:name="TANumber"/>
      <w:r w:rsidRPr="00F31663">
        <w:t>P10_TA(2025)</w:t>
      </w:r>
      <w:bookmarkEnd w:id="0"/>
      <w:r w:rsidR="00653BCE">
        <w:t>0208</w:t>
      </w:r>
    </w:p>
    <w:p w14:paraId="0AAB3412" w14:textId="2AF8E8B5" w:rsidR="0039639C" w:rsidRPr="00F31663" w:rsidRDefault="004D2D13" w:rsidP="004D2D13">
      <w:pPr>
        <w:pStyle w:val="ATHeading2"/>
      </w:pPr>
      <w:bookmarkStart w:id="1" w:name="title"/>
      <w:r>
        <w:t>Sprememba nekaterih uredb o finančnih storitvah in podpori za naložbe v zvezi z nekaterimi zahtevami glede poročanja</w:t>
      </w:r>
      <w:bookmarkEnd w:id="1"/>
    </w:p>
    <w:p w14:paraId="64F95314" w14:textId="77777777" w:rsidR="0039639C" w:rsidRPr="00F31663" w:rsidRDefault="0039639C" w:rsidP="0039639C">
      <w:pPr>
        <w:rPr>
          <w:i/>
          <w:vanish/>
        </w:rPr>
      </w:pPr>
      <w:r w:rsidRPr="00F31663">
        <w:rPr>
          <w:i/>
        </w:rPr>
        <w:fldChar w:fldCharType="begin"/>
      </w:r>
      <w:r w:rsidRPr="00F31663">
        <w:rPr>
          <w:i/>
        </w:rPr>
        <w:instrText xml:space="preserve"> TC"(</w:instrText>
      </w:r>
      <w:bookmarkStart w:id="2" w:name="DocNumber"/>
      <w:r w:rsidRPr="00F31663">
        <w:rPr>
          <w:i/>
        </w:rPr>
        <w:instrText>A10-0166/2025</w:instrText>
      </w:r>
      <w:bookmarkEnd w:id="2"/>
      <w:r w:rsidRPr="00F31663">
        <w:rPr>
          <w:i/>
        </w:rPr>
        <w:instrText xml:space="preserve"> - Poročevalec: </w:instrText>
      </w:r>
      <w:proofErr w:type="spellStart"/>
      <w:r w:rsidRPr="00F31663">
        <w:rPr>
          <w:i/>
        </w:rPr>
        <w:instrText>Paulius</w:instrText>
      </w:r>
      <w:proofErr w:type="spellEnd"/>
      <w:r w:rsidRPr="00F31663">
        <w:rPr>
          <w:i/>
        </w:rPr>
        <w:instrText xml:space="preserve"> </w:instrText>
      </w:r>
      <w:proofErr w:type="spellStart"/>
      <w:r w:rsidRPr="00F31663">
        <w:rPr>
          <w:i/>
        </w:rPr>
        <w:instrText>Saudargas</w:instrText>
      </w:r>
      <w:proofErr w:type="spellEnd"/>
      <w:r w:rsidRPr="00F31663">
        <w:rPr>
          <w:i/>
        </w:rPr>
        <w:instrText xml:space="preserve">)"\l3 \n&gt; \* MERGEFORMAT </w:instrText>
      </w:r>
      <w:r w:rsidRPr="00F31663">
        <w:rPr>
          <w:i/>
        </w:rPr>
        <w:fldChar w:fldCharType="end"/>
      </w:r>
    </w:p>
    <w:p w14:paraId="4BF51D7A" w14:textId="77777777" w:rsidR="0039639C" w:rsidRPr="00F31663" w:rsidRDefault="0039639C" w:rsidP="0039639C">
      <w:pPr>
        <w:rPr>
          <w:vanish/>
        </w:rPr>
      </w:pPr>
      <w:bookmarkStart w:id="3" w:name="Commission"/>
      <w:r w:rsidRPr="00F31663">
        <w:rPr>
          <w:vanish/>
        </w:rPr>
        <w:t>Odbor za ekonomske in monetarne zadeve</w:t>
      </w:r>
      <w:bookmarkEnd w:id="3"/>
    </w:p>
    <w:p w14:paraId="1578AACA" w14:textId="77777777" w:rsidR="0039639C" w:rsidRPr="00F31663" w:rsidRDefault="0039639C" w:rsidP="0039639C">
      <w:pPr>
        <w:rPr>
          <w:vanish/>
        </w:rPr>
      </w:pPr>
      <w:bookmarkStart w:id="4" w:name="PE"/>
      <w:r w:rsidRPr="00F31663">
        <w:rPr>
          <w:vanish/>
        </w:rPr>
        <w:t>PE777.025</w:t>
      </w:r>
      <w:bookmarkEnd w:id="4"/>
    </w:p>
    <w:p w14:paraId="513CB636" w14:textId="2A04250C" w:rsidR="0039639C" w:rsidRPr="00F31663" w:rsidRDefault="0039639C" w:rsidP="0039639C">
      <w:pPr>
        <w:pStyle w:val="ATHeading3"/>
      </w:pPr>
      <w:bookmarkStart w:id="5" w:name="Sujet"/>
      <w:r w:rsidRPr="00F31663">
        <w:t>Zakonodajna resolucija Evropskega parlamenta z dne</w:t>
      </w:r>
      <w:r w:rsidR="004D2D13">
        <w:t xml:space="preserve"> 7. oktobra</w:t>
      </w:r>
      <w:r w:rsidRPr="00F31663">
        <w:t xml:space="preserve"> 2025 o stališču Sveta v prvi obravnavi z namenom sprejetja uredbe Evropskega parlamenta in Sveta o spremembi uredb (EU) št. 1092/2010, (EU) št. 1093/2010, (EU) št. 1094/2010, (EU) št. 1095/2010, (EU) št. 806/2014, (EU) 2021/523 in (EU) 2024/1620 v zvezi z nekaterimi zahtevami glede poročanja na področju finančnih storitev in podpore za naložbe</w:t>
      </w:r>
      <w:bookmarkEnd w:id="5"/>
      <w:r w:rsidRPr="00F31663">
        <w:t xml:space="preserve"> </w:t>
      </w:r>
      <w:bookmarkStart w:id="6" w:name="References"/>
      <w:r w:rsidRPr="00F31663">
        <w:t>(07377/1/2025 – C10-0196/2025 – 2023/0363(COD))</w:t>
      </w:r>
      <w:bookmarkEnd w:id="6"/>
    </w:p>
    <w:p w14:paraId="362026C3" w14:textId="77777777" w:rsidR="008B746D" w:rsidRPr="00F31663" w:rsidRDefault="008B746D" w:rsidP="008B746D">
      <w:pPr>
        <w:pStyle w:val="NormalBold"/>
      </w:pPr>
      <w:r w:rsidRPr="00F31663">
        <w:t>(Redni zakonodajni postopek: druga obravnava)</w:t>
      </w:r>
    </w:p>
    <w:p w14:paraId="0A7BE614" w14:textId="77777777" w:rsidR="008B746D" w:rsidRPr="00F31663" w:rsidRDefault="008B746D" w:rsidP="008B746D">
      <w:pPr>
        <w:pStyle w:val="EPComma"/>
      </w:pPr>
      <w:r w:rsidRPr="00F31663">
        <w:rPr>
          <w:i/>
        </w:rPr>
        <w:t>Evropski parlament</w:t>
      </w:r>
      <w:r w:rsidRPr="00F31663">
        <w:t>,</w:t>
      </w:r>
    </w:p>
    <w:p w14:paraId="4E363B92" w14:textId="77777777" w:rsidR="008B746D" w:rsidRPr="00F31663" w:rsidRDefault="008B746D" w:rsidP="008B746D">
      <w:pPr>
        <w:pStyle w:val="NormalHanging12a"/>
      </w:pPr>
      <w:r w:rsidRPr="00F31663">
        <w:t>–</w:t>
      </w:r>
      <w:r w:rsidRPr="00F31663">
        <w:tab/>
        <w:t>ob upoštevanju stališča Sveta v prvi obravnavi (07377/1/2025 – C10</w:t>
      </w:r>
      <w:r w:rsidRPr="00F31663">
        <w:noBreakHyphen/>
        <w:t>0196/2025),</w:t>
      </w:r>
    </w:p>
    <w:p w14:paraId="1198339F" w14:textId="77777777" w:rsidR="008B746D" w:rsidRPr="00F31663" w:rsidRDefault="008B746D" w:rsidP="008B746D">
      <w:pPr>
        <w:pStyle w:val="NormalHanging12a"/>
      </w:pPr>
      <w:r w:rsidRPr="00F31663">
        <w:t>–</w:t>
      </w:r>
      <w:r w:rsidRPr="00F31663">
        <w:tab/>
        <w:t>ob upoštevanju mnenja Evropske centralne banke z dne 21. junija 2024</w:t>
      </w:r>
      <w:r w:rsidRPr="00F31663">
        <w:rPr>
          <w:rStyle w:val="FootnoteReference"/>
        </w:rPr>
        <w:footnoteReference w:id="1"/>
      </w:r>
      <w:r w:rsidRPr="00F31663">
        <w:t>,</w:t>
      </w:r>
    </w:p>
    <w:p w14:paraId="17011D9A" w14:textId="77777777" w:rsidR="008B746D" w:rsidRPr="00F31663" w:rsidRDefault="008B746D" w:rsidP="008B746D">
      <w:pPr>
        <w:pStyle w:val="NormalHanging12a"/>
      </w:pPr>
      <w:r w:rsidRPr="00F31663">
        <w:t>–</w:t>
      </w:r>
      <w:r w:rsidRPr="00F31663">
        <w:tab/>
        <w:t>ob upoštevanju mnenja Evropskega ekonomsko-socialnega odbora z dne 14. februarja 2024</w:t>
      </w:r>
      <w:r w:rsidRPr="00F31663">
        <w:rPr>
          <w:rStyle w:val="FootnoteReference"/>
        </w:rPr>
        <w:footnoteReference w:id="2"/>
      </w:r>
      <w:r w:rsidRPr="00F31663">
        <w:t>,</w:t>
      </w:r>
    </w:p>
    <w:p w14:paraId="20D95153" w14:textId="77777777" w:rsidR="008B746D" w:rsidRPr="00F31663" w:rsidRDefault="008B746D" w:rsidP="008B746D">
      <w:pPr>
        <w:pStyle w:val="NormalHanging12a"/>
      </w:pPr>
      <w:r w:rsidRPr="00F31663">
        <w:t>–</w:t>
      </w:r>
      <w:r w:rsidRPr="00F31663">
        <w:tab/>
        <w:t>po posvetovanju z Odborom regij,</w:t>
      </w:r>
    </w:p>
    <w:p w14:paraId="4C118F5B" w14:textId="77777777" w:rsidR="008B746D" w:rsidRPr="00F31663" w:rsidRDefault="008B746D" w:rsidP="008B746D">
      <w:pPr>
        <w:pStyle w:val="NormalHanging12a"/>
      </w:pPr>
      <w:r w:rsidRPr="00F31663">
        <w:t>–</w:t>
      </w:r>
      <w:r w:rsidRPr="00F31663">
        <w:tab/>
        <w:t>ob upoštevanju svojega stališča v prvi obravnavi</w:t>
      </w:r>
      <w:r w:rsidRPr="00F31663">
        <w:rPr>
          <w:rStyle w:val="FootnoteReference"/>
        </w:rPr>
        <w:footnoteReference w:id="3"/>
      </w:r>
      <w:r w:rsidRPr="00F31663">
        <w:t xml:space="preserve"> o predlogu Komisije Evropskemu parlamentu in Svetu (COM(2023)0593),</w:t>
      </w:r>
    </w:p>
    <w:p w14:paraId="58B5645C" w14:textId="77777777" w:rsidR="008B746D" w:rsidRPr="00F31663" w:rsidRDefault="008B746D" w:rsidP="008B746D">
      <w:pPr>
        <w:pStyle w:val="NormalHanging12a"/>
      </w:pPr>
      <w:r w:rsidRPr="00F31663">
        <w:t>–</w:t>
      </w:r>
      <w:r w:rsidRPr="00F31663">
        <w:tab/>
        <w:t>ob upoštevanju člena 294(7) Pogodbe o delovanju Evropske unije,</w:t>
      </w:r>
    </w:p>
    <w:p w14:paraId="41D7F025" w14:textId="77777777" w:rsidR="008B746D" w:rsidRPr="00F31663" w:rsidRDefault="008B746D" w:rsidP="008B746D">
      <w:pPr>
        <w:pStyle w:val="NormalHanging12a"/>
      </w:pPr>
      <w:r w:rsidRPr="00F31663">
        <w:t>–</w:t>
      </w:r>
      <w:r w:rsidRPr="00F31663">
        <w:tab/>
        <w:t>ob upoštevanju začasnega dogovora, ki ga je odobril pristojni odbor v skladu s členom 75(4) Poslovnika,</w:t>
      </w:r>
    </w:p>
    <w:p w14:paraId="1424834D" w14:textId="77777777" w:rsidR="008B746D" w:rsidRPr="00F31663" w:rsidRDefault="008B746D" w:rsidP="008B746D">
      <w:pPr>
        <w:pStyle w:val="NormalHanging12a"/>
      </w:pPr>
      <w:r w:rsidRPr="00F31663">
        <w:t>–</w:t>
      </w:r>
      <w:r w:rsidRPr="00F31663">
        <w:tab/>
        <w:t>ob upoštevanju člena 68 Poslovnika,</w:t>
      </w:r>
    </w:p>
    <w:p w14:paraId="57CDDBDD" w14:textId="77777777" w:rsidR="008B746D" w:rsidRPr="00F31663" w:rsidRDefault="008B746D" w:rsidP="008B746D">
      <w:pPr>
        <w:pStyle w:val="NormalHanging12a"/>
      </w:pPr>
      <w:r w:rsidRPr="00F31663">
        <w:lastRenderedPageBreak/>
        <w:t>–</w:t>
      </w:r>
      <w:r w:rsidRPr="00F31663">
        <w:tab/>
        <w:t>ob upoštevanju priporočila za drugo obravnavo Odbora za ekonomske in monetarne zadeve (A10-0166/2025),</w:t>
      </w:r>
    </w:p>
    <w:p w14:paraId="0F78A4A6" w14:textId="77777777" w:rsidR="008B746D" w:rsidRPr="00F31663" w:rsidRDefault="008B746D" w:rsidP="008B746D">
      <w:pPr>
        <w:pStyle w:val="NormalHanging12a"/>
      </w:pPr>
      <w:r w:rsidRPr="00F31663">
        <w:t>1.</w:t>
      </w:r>
      <w:r w:rsidRPr="00F31663">
        <w:tab/>
        <w:t>odobri stališče Sveta v prvi obravnavi;</w:t>
      </w:r>
    </w:p>
    <w:p w14:paraId="22513558" w14:textId="77777777" w:rsidR="008B746D" w:rsidRPr="00F31663" w:rsidRDefault="008B746D" w:rsidP="008B746D">
      <w:pPr>
        <w:pStyle w:val="NormalHanging12a"/>
      </w:pPr>
      <w:r w:rsidRPr="00F31663">
        <w:t>2.</w:t>
      </w:r>
      <w:r w:rsidRPr="00F31663">
        <w:tab/>
        <w:t>ugotavlja, da je akt sprejet v skladu s stališčem Sveta;</w:t>
      </w:r>
    </w:p>
    <w:p w14:paraId="20783DEC" w14:textId="77777777" w:rsidR="008B746D" w:rsidRPr="00F31663" w:rsidRDefault="008B746D" w:rsidP="008B746D">
      <w:pPr>
        <w:pStyle w:val="NormalHanging12a"/>
      </w:pPr>
      <w:r w:rsidRPr="00F31663">
        <w:t>3.</w:t>
      </w:r>
      <w:r w:rsidRPr="00F31663">
        <w:tab/>
        <w:t>naroči svoji predsednici, naj skupaj s predsednikom Sveta podpiše akt v skladu s členom 297(1) Pogodbe o delovanju Evropske unije;</w:t>
      </w:r>
    </w:p>
    <w:p w14:paraId="3FEC4F1E" w14:textId="77777777" w:rsidR="008B746D" w:rsidRPr="00F31663" w:rsidRDefault="008B746D" w:rsidP="008B746D">
      <w:pPr>
        <w:pStyle w:val="NormalHanging12a"/>
      </w:pPr>
      <w:r w:rsidRPr="00F31663">
        <w:t>4.</w:t>
      </w:r>
      <w:r w:rsidRPr="00F31663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F31663">
        <w:rPr>
          <w:i/>
          <w:iCs/>
        </w:rPr>
        <w:t>Uradnem listu Evropske unije</w:t>
      </w:r>
      <w:r w:rsidRPr="00F31663">
        <w:t>;</w:t>
      </w:r>
    </w:p>
    <w:p w14:paraId="65315553" w14:textId="6285325D" w:rsidR="00E365E1" w:rsidRPr="00F31663" w:rsidRDefault="008B746D" w:rsidP="004D2D13">
      <w:pPr>
        <w:pStyle w:val="NormalHanging12a"/>
      </w:pPr>
      <w:r w:rsidRPr="00F31663">
        <w:t>5.</w:t>
      </w:r>
      <w:r w:rsidRPr="00F31663">
        <w:tab/>
        <w:t>naroči svoji predsednici, naj stališče Parlamenta posreduje Svetu</w:t>
      </w:r>
      <w:r w:rsidR="004D2D13">
        <w:t>,</w:t>
      </w:r>
      <w:r w:rsidRPr="00F31663">
        <w:t xml:space="preserve"> Komisiji </w:t>
      </w:r>
      <w:r w:rsidR="004D2D13">
        <w:t>in</w:t>
      </w:r>
      <w:r w:rsidR="004D2D13" w:rsidRPr="00F31663">
        <w:t xml:space="preserve"> </w:t>
      </w:r>
      <w:r w:rsidRPr="00F31663">
        <w:t>nacionalnim parlamentom.</w:t>
      </w:r>
    </w:p>
    <w:sectPr w:rsidR="00E365E1" w:rsidRPr="00F31663" w:rsidSect="00F316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2A5EC" w14:textId="77777777" w:rsidR="0039639C" w:rsidRPr="00F31663" w:rsidRDefault="0039639C">
      <w:r w:rsidRPr="00F31663">
        <w:separator/>
      </w:r>
    </w:p>
  </w:endnote>
  <w:endnote w:type="continuationSeparator" w:id="0">
    <w:p w14:paraId="70DFD13E" w14:textId="77777777" w:rsidR="0039639C" w:rsidRPr="00F31663" w:rsidRDefault="0039639C">
      <w:r w:rsidRPr="00F316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FA7FC" w14:textId="77777777" w:rsidR="00064002" w:rsidRPr="00F316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0CBC" w14:textId="77777777" w:rsidR="00064002" w:rsidRPr="00F316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CDEB6" w14:textId="77777777" w:rsidR="00064002" w:rsidRPr="00F316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E3431" w14:textId="77777777" w:rsidR="0039639C" w:rsidRPr="00F31663" w:rsidRDefault="0039639C">
      <w:r w:rsidRPr="00F31663">
        <w:separator/>
      </w:r>
    </w:p>
  </w:footnote>
  <w:footnote w:type="continuationSeparator" w:id="0">
    <w:p w14:paraId="7F7B9EAC" w14:textId="77777777" w:rsidR="0039639C" w:rsidRPr="00F31663" w:rsidRDefault="0039639C">
      <w:r w:rsidRPr="00F31663">
        <w:continuationSeparator/>
      </w:r>
    </w:p>
  </w:footnote>
  <w:footnote w:id="1">
    <w:p w14:paraId="33F46BE5" w14:textId="476EFD7E" w:rsidR="008B746D" w:rsidRPr="00F31663" w:rsidRDefault="008B746D" w:rsidP="00F31663">
      <w:pPr>
        <w:pStyle w:val="FootnoteText"/>
        <w:ind w:left="567" w:hanging="567"/>
        <w:rPr>
          <w:sz w:val="24"/>
          <w:lang w:val="sl-SI"/>
        </w:rPr>
      </w:pPr>
      <w:r w:rsidRPr="00F31663">
        <w:rPr>
          <w:rStyle w:val="FootnoteReference"/>
          <w:sz w:val="24"/>
          <w:lang w:val="sl-SI"/>
        </w:rPr>
        <w:footnoteRef/>
      </w:r>
      <w:r w:rsidR="00F31663" w:rsidRPr="00F31663">
        <w:rPr>
          <w:sz w:val="24"/>
          <w:lang w:val="sl-SI"/>
        </w:rPr>
        <w:t xml:space="preserve"> </w:t>
      </w:r>
      <w:r w:rsidR="00F31663" w:rsidRPr="00F31663">
        <w:rPr>
          <w:sz w:val="24"/>
          <w:lang w:val="sl-SI"/>
        </w:rPr>
        <w:tab/>
      </w:r>
      <w:r w:rsidRPr="00F31663">
        <w:rPr>
          <w:sz w:val="24"/>
          <w:lang w:val="sl-SI"/>
        </w:rPr>
        <w:t xml:space="preserve">UL C, </w:t>
      </w:r>
      <w:r w:rsidR="00DC56A3">
        <w:rPr>
          <w:sz w:val="24"/>
          <w:lang w:val="sl-SI"/>
        </w:rPr>
        <w:t>C/</w:t>
      </w:r>
      <w:r w:rsidRPr="00F31663">
        <w:rPr>
          <w:sz w:val="24"/>
          <w:lang w:val="sl-SI"/>
        </w:rPr>
        <w:t xml:space="preserve">2024/5048, 16.8.2024, ELI: </w:t>
      </w:r>
      <w:hyperlink r:id="rId1" w:tgtFrame="_blank" w:tooltip="Povezava ELI s tem dokumentom." w:history="1">
        <w:r w:rsidRPr="00F31663">
          <w:rPr>
            <w:rStyle w:val="Hyperlink"/>
            <w:sz w:val="24"/>
            <w:lang w:val="sl-SI"/>
          </w:rPr>
          <w:t>http://data.europa.eu/eli/C/2024/5048/oj</w:t>
        </w:r>
      </w:hyperlink>
      <w:r w:rsidRPr="00F31663">
        <w:rPr>
          <w:sz w:val="24"/>
          <w:lang w:val="sl-SI"/>
        </w:rPr>
        <w:t>.</w:t>
      </w:r>
    </w:p>
  </w:footnote>
  <w:footnote w:id="2">
    <w:p w14:paraId="42DC029D" w14:textId="73108716" w:rsidR="008B746D" w:rsidRPr="00F31663" w:rsidRDefault="008B746D" w:rsidP="00F31663">
      <w:pPr>
        <w:pStyle w:val="FootnoteText"/>
        <w:ind w:left="567" w:hanging="567"/>
        <w:rPr>
          <w:sz w:val="24"/>
          <w:lang w:val="sl-SI"/>
        </w:rPr>
      </w:pPr>
      <w:r w:rsidRPr="00F31663">
        <w:rPr>
          <w:rStyle w:val="FootnoteReference"/>
          <w:sz w:val="24"/>
          <w:lang w:val="sl-SI"/>
        </w:rPr>
        <w:footnoteRef/>
      </w:r>
      <w:r w:rsidR="00F31663" w:rsidRPr="00F31663">
        <w:rPr>
          <w:sz w:val="24"/>
          <w:lang w:val="sl-SI"/>
        </w:rPr>
        <w:t xml:space="preserve"> </w:t>
      </w:r>
      <w:r w:rsidR="00F31663" w:rsidRPr="00F31663">
        <w:rPr>
          <w:sz w:val="24"/>
          <w:lang w:val="sl-SI"/>
        </w:rPr>
        <w:tab/>
      </w:r>
      <w:r w:rsidRPr="00F31663">
        <w:rPr>
          <w:sz w:val="24"/>
          <w:lang w:val="sl-SI"/>
        </w:rPr>
        <w:t xml:space="preserve">UL C, </w:t>
      </w:r>
      <w:r w:rsidR="00DC56A3">
        <w:rPr>
          <w:sz w:val="24"/>
          <w:lang w:val="sl-SI"/>
        </w:rPr>
        <w:t>C/</w:t>
      </w:r>
      <w:r w:rsidRPr="00F31663">
        <w:rPr>
          <w:sz w:val="24"/>
          <w:lang w:val="sl-SI"/>
        </w:rPr>
        <w:t xml:space="preserve">2024/2485, 23.4.2024, ELI: </w:t>
      </w:r>
      <w:hyperlink r:id="rId2" w:history="1">
        <w:r w:rsidRPr="00F31663">
          <w:rPr>
            <w:rStyle w:val="Hyperlink"/>
            <w:sz w:val="24"/>
            <w:lang w:val="sl-SI"/>
          </w:rPr>
          <w:t>http://data.europa.eu/eli/C/2024/2485/oj</w:t>
        </w:r>
      </w:hyperlink>
      <w:r w:rsidRPr="00F31663">
        <w:rPr>
          <w:sz w:val="24"/>
          <w:lang w:val="sl-SI"/>
        </w:rPr>
        <w:t>.</w:t>
      </w:r>
    </w:p>
  </w:footnote>
  <w:footnote w:id="3">
    <w:p w14:paraId="0D5D1363" w14:textId="16F544A1" w:rsidR="008B746D" w:rsidRPr="00F31663" w:rsidRDefault="008B746D" w:rsidP="00F31663">
      <w:pPr>
        <w:pStyle w:val="FootnoteText"/>
        <w:ind w:left="567" w:hanging="567"/>
        <w:rPr>
          <w:sz w:val="24"/>
          <w:lang w:val="sl-SI"/>
        </w:rPr>
      </w:pPr>
      <w:r w:rsidRPr="00F31663">
        <w:rPr>
          <w:rStyle w:val="FootnoteReference"/>
          <w:sz w:val="24"/>
          <w:lang w:val="sl-SI"/>
        </w:rPr>
        <w:footnoteRef/>
      </w:r>
      <w:r w:rsidR="00F31663" w:rsidRPr="00F31663">
        <w:rPr>
          <w:sz w:val="24"/>
          <w:lang w:val="sl-SI"/>
        </w:rPr>
        <w:t xml:space="preserve"> </w:t>
      </w:r>
      <w:r w:rsidR="00F31663" w:rsidRPr="00F31663">
        <w:rPr>
          <w:sz w:val="24"/>
          <w:lang w:val="sl-SI"/>
        </w:rPr>
        <w:tab/>
      </w:r>
      <w:r w:rsidR="004D2D13" w:rsidRPr="00653BCE">
        <w:rPr>
          <w:sz w:val="24"/>
          <w:lang w:val="pl-PL"/>
        </w:rPr>
        <w:t>UL C, C/2025/1021, 27.2.2025, ELI: </w:t>
      </w:r>
      <w:hyperlink r:id="rId3" w:tgtFrame="_blank" w:tooltip="Gives access to this document through its ELI URI." w:history="1">
        <w:r w:rsidR="004D2D13" w:rsidRPr="00653BCE">
          <w:rPr>
            <w:rStyle w:val="Hyperlink"/>
            <w:sz w:val="24"/>
            <w:lang w:val="pl-PL"/>
          </w:rPr>
          <w:t>http://data.europa.eu/eli/C/2025/1021/oj</w:t>
        </w:r>
      </w:hyperlink>
      <w:r w:rsidRPr="004D2D13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2EDA2" w14:textId="77777777" w:rsidR="00064002" w:rsidRPr="00F316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CF1E6" w14:textId="77777777" w:rsidR="00064002" w:rsidRPr="00F316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7FE9" w14:textId="77777777" w:rsidR="00064002" w:rsidRPr="00F316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7003139">
    <w:abstractNumId w:val="9"/>
  </w:num>
  <w:num w:numId="2" w16cid:durableId="1841195288">
    <w:abstractNumId w:val="9"/>
  </w:num>
  <w:num w:numId="3" w16cid:durableId="476460095">
    <w:abstractNumId w:val="7"/>
  </w:num>
  <w:num w:numId="4" w16cid:durableId="479927916">
    <w:abstractNumId w:val="7"/>
  </w:num>
  <w:num w:numId="5" w16cid:durableId="1087192946">
    <w:abstractNumId w:val="6"/>
  </w:num>
  <w:num w:numId="6" w16cid:durableId="336269574">
    <w:abstractNumId w:val="6"/>
  </w:num>
  <w:num w:numId="7" w16cid:durableId="672493347">
    <w:abstractNumId w:val="5"/>
  </w:num>
  <w:num w:numId="8" w16cid:durableId="184684469">
    <w:abstractNumId w:val="5"/>
  </w:num>
  <w:num w:numId="9" w16cid:durableId="1467164347">
    <w:abstractNumId w:val="4"/>
  </w:num>
  <w:num w:numId="10" w16cid:durableId="139424201">
    <w:abstractNumId w:val="4"/>
  </w:num>
  <w:num w:numId="11" w16cid:durableId="866531059">
    <w:abstractNumId w:val="8"/>
  </w:num>
  <w:num w:numId="12" w16cid:durableId="1481313442">
    <w:abstractNumId w:val="8"/>
  </w:num>
  <w:num w:numId="13" w16cid:durableId="1456678575">
    <w:abstractNumId w:val="3"/>
  </w:num>
  <w:num w:numId="14" w16cid:durableId="864827728">
    <w:abstractNumId w:val="3"/>
  </w:num>
  <w:num w:numId="15" w16cid:durableId="559365616">
    <w:abstractNumId w:val="2"/>
  </w:num>
  <w:num w:numId="16" w16cid:durableId="713652975">
    <w:abstractNumId w:val="2"/>
  </w:num>
  <w:num w:numId="17" w16cid:durableId="463930716">
    <w:abstractNumId w:val="1"/>
  </w:num>
  <w:num w:numId="18" w16cid:durableId="1420443863">
    <w:abstractNumId w:val="1"/>
  </w:num>
  <w:num w:numId="19" w16cid:durableId="766537270">
    <w:abstractNumId w:val="0"/>
  </w:num>
  <w:num w:numId="20" w16cid:durableId="921644893">
    <w:abstractNumId w:val="0"/>
  </w:num>
  <w:num w:numId="21" w16cid:durableId="1312712428">
    <w:abstractNumId w:val="9"/>
  </w:num>
  <w:num w:numId="22" w16cid:durableId="1402875576">
    <w:abstractNumId w:val="7"/>
  </w:num>
  <w:num w:numId="23" w16cid:durableId="1301768603">
    <w:abstractNumId w:val="6"/>
  </w:num>
  <w:num w:numId="24" w16cid:durableId="227419843">
    <w:abstractNumId w:val="5"/>
  </w:num>
  <w:num w:numId="25" w16cid:durableId="1461651125">
    <w:abstractNumId w:val="4"/>
  </w:num>
  <w:num w:numId="26" w16cid:durableId="46300255">
    <w:abstractNumId w:val="8"/>
  </w:num>
  <w:num w:numId="27" w16cid:durableId="1469317519">
    <w:abstractNumId w:val="3"/>
  </w:num>
  <w:num w:numId="28" w16cid:durableId="32655316">
    <w:abstractNumId w:val="2"/>
  </w:num>
  <w:num w:numId="29" w16cid:durableId="568656330">
    <w:abstractNumId w:val="1"/>
  </w:num>
  <w:num w:numId="30" w16cid:durableId="2005237697">
    <w:abstractNumId w:val="0"/>
  </w:num>
  <w:num w:numId="31" w16cid:durableId="2099859226">
    <w:abstractNumId w:val="9"/>
  </w:num>
  <w:num w:numId="32" w16cid:durableId="710804893">
    <w:abstractNumId w:val="7"/>
  </w:num>
  <w:num w:numId="33" w16cid:durableId="1335380882">
    <w:abstractNumId w:val="6"/>
  </w:num>
  <w:num w:numId="34" w16cid:durableId="775368962">
    <w:abstractNumId w:val="5"/>
  </w:num>
  <w:num w:numId="35" w16cid:durableId="1711303339">
    <w:abstractNumId w:val="4"/>
  </w:num>
  <w:num w:numId="36" w16cid:durableId="1724325586">
    <w:abstractNumId w:val="8"/>
  </w:num>
  <w:num w:numId="37" w16cid:durableId="609971999">
    <w:abstractNumId w:val="3"/>
  </w:num>
  <w:num w:numId="38" w16cid:durableId="1994022579">
    <w:abstractNumId w:val="2"/>
  </w:num>
  <w:num w:numId="39" w16cid:durableId="1145513017">
    <w:abstractNumId w:val="1"/>
  </w:num>
  <w:num w:numId="40" w16cid:durableId="907766413">
    <w:abstractNumId w:val="0"/>
  </w:num>
  <w:num w:numId="41" w16cid:durableId="1565994947">
    <w:abstractNumId w:val="10"/>
  </w:num>
  <w:num w:numId="42" w16cid:durableId="1467047452">
    <w:abstractNumId w:val="10"/>
  </w:num>
  <w:num w:numId="43" w16cid:durableId="603920444">
    <w:abstractNumId w:val="10"/>
  </w:num>
  <w:num w:numId="44" w16cid:durableId="8491063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SL"/>
    <w:docVar w:name="dvnumam" w:val="0"/>
    <w:docVar w:name="dvpe" w:val="777.025"/>
    <w:docVar w:name="dvrapporteur" w:val="Poročevalec: "/>
    <w:docVar w:name="dvstar" w:val="***II"/>
    <w:docVar w:name="dvtitre" w:val="Zakonodajna resolucija Evropskega parlamenta z dne … 2025 o stališču Sveta v prvi obravnavi z namenom sprejetja uredbe Evropskega parlamenta in Sveta o spremembi uredb (EU) št. 1092/2010, (EU) št. 1093/2010, (EU) št. 1094/2010, (EU) št. 1095/2010, (EU) št. 806/2014, (EU) 2021/523 in (EU) 2024/1620 v zvezi z nekaterimi zahtevami glede poročanja na področju finančnih storitev in podpore za naložbe(07377/1/2025 – C10-0196/2025 – 2023/0363(COD))"/>
  </w:docVars>
  <w:rsids>
    <w:rsidRoot w:val="003963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39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D13"/>
    <w:rsid w:val="0050519A"/>
    <w:rsid w:val="005072A1"/>
    <w:rsid w:val="00514517"/>
    <w:rsid w:val="00545827"/>
    <w:rsid w:val="00560270"/>
    <w:rsid w:val="005C2568"/>
    <w:rsid w:val="005F1B17"/>
    <w:rsid w:val="006037C0"/>
    <w:rsid w:val="00627C85"/>
    <w:rsid w:val="00653BCE"/>
    <w:rsid w:val="006631B6"/>
    <w:rsid w:val="00680577"/>
    <w:rsid w:val="006F74FA"/>
    <w:rsid w:val="007060BB"/>
    <w:rsid w:val="00731ADD"/>
    <w:rsid w:val="00734777"/>
    <w:rsid w:val="00747932"/>
    <w:rsid w:val="00751A4A"/>
    <w:rsid w:val="00756632"/>
    <w:rsid w:val="00762C74"/>
    <w:rsid w:val="00777282"/>
    <w:rsid w:val="00786EC0"/>
    <w:rsid w:val="007D1690"/>
    <w:rsid w:val="007E22AD"/>
    <w:rsid w:val="00803CA3"/>
    <w:rsid w:val="00817416"/>
    <w:rsid w:val="00842779"/>
    <w:rsid w:val="00865F67"/>
    <w:rsid w:val="00881A7B"/>
    <w:rsid w:val="008840E5"/>
    <w:rsid w:val="00887B3E"/>
    <w:rsid w:val="008B746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6A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66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F123A"/>
  <w15:chartTrackingRefBased/>
  <w15:docId w15:val="{12AFE825-8E03-43AF-B335-9B6C50B7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B746D"/>
    <w:pPr>
      <w:spacing w:before="480" w:after="240"/>
    </w:pPr>
  </w:style>
  <w:style w:type="paragraph" w:customStyle="1" w:styleId="NormalBold">
    <w:name w:val="NormalBold"/>
    <w:basedOn w:val="Normal"/>
    <w:rsid w:val="008B746D"/>
    <w:rPr>
      <w:b/>
    </w:rPr>
  </w:style>
  <w:style w:type="paragraph" w:customStyle="1" w:styleId="NormalHanging12a">
    <w:name w:val="NormalHanging12a"/>
    <w:basedOn w:val="Normal"/>
    <w:rsid w:val="008B746D"/>
    <w:pPr>
      <w:spacing w:after="240"/>
      <w:ind w:left="567" w:hanging="567"/>
    </w:pPr>
  </w:style>
  <w:style w:type="character" w:styleId="Hyperlink">
    <w:name w:val="Hyperlink"/>
    <w:basedOn w:val="DefaultParagraphFont"/>
    <w:rsid w:val="008B746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D2D13"/>
    <w:rPr>
      <w:sz w:val="24"/>
      <w:lang w:val="sl-SI"/>
    </w:rPr>
  </w:style>
  <w:style w:type="character" w:styleId="CommentReference">
    <w:name w:val="annotation reference"/>
    <w:basedOn w:val="DefaultParagraphFont"/>
    <w:rsid w:val="00803C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3CA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03CA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03C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3CA3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2025-12-15T08:47:00Z</dcterms:created>
  <dcterms:modified xsi:type="dcterms:W3CDTF">2025-12-15T08:47:00Z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