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17D0" w14:paraId="2093A5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836C09" w14:textId="77777777" w:rsidR="00751A4A" w:rsidRPr="000F17D0" w:rsidRDefault="00576135" w:rsidP="0010095E">
            <w:pPr>
              <w:pStyle w:val="EPName"/>
            </w:pPr>
            <w:r w:rsidRPr="000F17D0">
              <w:t>Europaparlamentet</w:t>
            </w:r>
          </w:p>
          <w:p w14:paraId="7ED478EC" w14:textId="77777777" w:rsidR="00751A4A" w:rsidRPr="000F17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17D0">
              <w:t>2024</w:t>
            </w:r>
            <w:r w:rsidR="00817416" w:rsidRPr="000F17D0">
              <w:t>-202</w:t>
            </w:r>
            <w:r w:rsidRPr="000F17D0">
              <w:t>9</w:t>
            </w:r>
          </w:p>
        </w:tc>
        <w:tc>
          <w:tcPr>
            <w:tcW w:w="2268" w:type="dxa"/>
            <w:shd w:val="clear" w:color="auto" w:fill="auto"/>
          </w:tcPr>
          <w:p w14:paraId="382FE5E7" w14:textId="77777777" w:rsidR="00751A4A" w:rsidRPr="000F17D0" w:rsidRDefault="00187494" w:rsidP="0010095E">
            <w:pPr>
              <w:pStyle w:val="EPLogo"/>
            </w:pPr>
            <w:r w:rsidRPr="000F17D0">
              <w:rPr>
                <w:noProof/>
                <w:lang w:eastAsia="ja-JP"/>
              </w:rPr>
              <w:drawing>
                <wp:inline distT="0" distB="0" distL="0" distR="0" wp14:anchorId="49E666F5" wp14:editId="2708A7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453194" w14:textId="77777777" w:rsidR="00D058B8" w:rsidRPr="000F17D0" w:rsidRDefault="00D058B8" w:rsidP="004C5D52">
      <w:pPr>
        <w:pStyle w:val="LineTop"/>
      </w:pPr>
    </w:p>
    <w:p w14:paraId="088BE7CA" w14:textId="77777777" w:rsidR="00680577" w:rsidRPr="000F17D0" w:rsidRDefault="00576135" w:rsidP="00680577">
      <w:pPr>
        <w:pStyle w:val="EPBodyTA1"/>
      </w:pPr>
      <w:r w:rsidRPr="000F17D0">
        <w:t>ANTAGNA TEXTER</w:t>
      </w:r>
    </w:p>
    <w:p w14:paraId="7A47EEDF" w14:textId="77777777" w:rsidR="00D058B8" w:rsidRPr="000F17D0" w:rsidRDefault="00D058B8" w:rsidP="00D058B8">
      <w:pPr>
        <w:pStyle w:val="LineBottom"/>
      </w:pPr>
    </w:p>
    <w:p w14:paraId="34A3CD95" w14:textId="21027AD9" w:rsidR="00576135" w:rsidRPr="000F17D0" w:rsidRDefault="00576135" w:rsidP="00576135">
      <w:pPr>
        <w:pStyle w:val="ATHeading1"/>
      </w:pPr>
      <w:bookmarkStart w:id="0" w:name="TANumber"/>
      <w:r w:rsidRPr="000F17D0">
        <w:t>P10_TA(2025)0</w:t>
      </w:r>
      <w:bookmarkEnd w:id="0"/>
      <w:r w:rsidR="00CD6B73">
        <w:t>208</w:t>
      </w:r>
    </w:p>
    <w:p w14:paraId="0B12AE9D" w14:textId="77777777" w:rsidR="00576135" w:rsidRPr="000F17D0" w:rsidRDefault="00576135" w:rsidP="00576135">
      <w:pPr>
        <w:pStyle w:val="ATHeading2"/>
      </w:pPr>
      <w:bookmarkStart w:id="1" w:name="title"/>
      <w:r w:rsidRPr="000F17D0">
        <w:t>Ändring av vissa förordningar om finansiella tjänster och investeringsstöd vad gäller vissa rapporteringskrav</w:t>
      </w:r>
      <w:bookmarkEnd w:id="1"/>
    </w:p>
    <w:p w14:paraId="66C17C93" w14:textId="77777777" w:rsidR="00576135" w:rsidRPr="000F17D0" w:rsidRDefault="00576135" w:rsidP="00576135">
      <w:pPr>
        <w:rPr>
          <w:i/>
          <w:vanish/>
        </w:rPr>
      </w:pPr>
      <w:r w:rsidRPr="000F17D0">
        <w:rPr>
          <w:i/>
        </w:rPr>
        <w:fldChar w:fldCharType="begin"/>
      </w:r>
      <w:r w:rsidRPr="000F17D0">
        <w:rPr>
          <w:i/>
        </w:rPr>
        <w:instrText xml:space="preserve"> TC"(</w:instrText>
      </w:r>
      <w:bookmarkStart w:id="2" w:name="DocNumber"/>
      <w:r w:rsidRPr="000F17D0">
        <w:rPr>
          <w:i/>
        </w:rPr>
        <w:instrText>A10-0166/2025</w:instrText>
      </w:r>
      <w:bookmarkEnd w:id="2"/>
      <w:r w:rsidRPr="000F17D0">
        <w:rPr>
          <w:i/>
        </w:rPr>
        <w:instrText xml:space="preserve"> - Föredragande: </w:instrText>
      </w:r>
      <w:proofErr w:type="spellStart"/>
      <w:r w:rsidRPr="000F17D0">
        <w:rPr>
          <w:i/>
        </w:rPr>
        <w:instrText>Paulius</w:instrText>
      </w:r>
      <w:proofErr w:type="spellEnd"/>
      <w:r w:rsidRPr="000F17D0">
        <w:rPr>
          <w:i/>
        </w:rPr>
        <w:instrText xml:space="preserve"> </w:instrText>
      </w:r>
      <w:proofErr w:type="spellStart"/>
      <w:r w:rsidRPr="000F17D0">
        <w:rPr>
          <w:i/>
        </w:rPr>
        <w:instrText>Saudargas</w:instrText>
      </w:r>
      <w:proofErr w:type="spellEnd"/>
      <w:r w:rsidRPr="000F17D0">
        <w:rPr>
          <w:i/>
        </w:rPr>
        <w:instrText xml:space="preserve">)"\l3 \n&gt; \* MERGEFORMAT </w:instrText>
      </w:r>
      <w:r w:rsidRPr="000F17D0">
        <w:rPr>
          <w:i/>
        </w:rPr>
        <w:fldChar w:fldCharType="end"/>
      </w:r>
    </w:p>
    <w:p w14:paraId="27D4EE71" w14:textId="77777777" w:rsidR="00576135" w:rsidRPr="000F17D0" w:rsidRDefault="00576135" w:rsidP="00576135">
      <w:pPr>
        <w:rPr>
          <w:vanish/>
        </w:rPr>
      </w:pPr>
      <w:bookmarkStart w:id="3" w:name="Commission"/>
      <w:r w:rsidRPr="000F17D0">
        <w:rPr>
          <w:vanish/>
        </w:rPr>
        <w:t>Utskottet för ekonomi och valutafrågor</w:t>
      </w:r>
      <w:bookmarkEnd w:id="3"/>
    </w:p>
    <w:p w14:paraId="2ECC3321" w14:textId="77777777" w:rsidR="00576135" w:rsidRPr="000F17D0" w:rsidRDefault="00576135" w:rsidP="00576135">
      <w:pPr>
        <w:rPr>
          <w:vanish/>
        </w:rPr>
      </w:pPr>
      <w:bookmarkStart w:id="4" w:name="PE"/>
      <w:r w:rsidRPr="000F17D0">
        <w:rPr>
          <w:vanish/>
        </w:rPr>
        <w:t>PE777.025</w:t>
      </w:r>
      <w:bookmarkEnd w:id="4"/>
    </w:p>
    <w:p w14:paraId="6AD236CD" w14:textId="780AE02D" w:rsidR="00576135" w:rsidRPr="009D0FBB" w:rsidRDefault="00576135" w:rsidP="00576135">
      <w:pPr>
        <w:pStyle w:val="ATHeading3"/>
      </w:pPr>
      <w:bookmarkStart w:id="5" w:name="Sujet"/>
      <w:r w:rsidRPr="000F17D0">
        <w:t>Europaparlamentets lagstiftnings</w:t>
      </w:r>
      <w:r w:rsidRPr="009D0FBB">
        <w:t xml:space="preserve">resolution av den </w:t>
      </w:r>
      <w:r w:rsidR="00BC0A1F" w:rsidRPr="009D0FBB">
        <w:t xml:space="preserve">7 oktober </w:t>
      </w:r>
      <w:r w:rsidRPr="009D0FBB">
        <w:t>2025 om rådets ståndpunkt vid första behandlingen inför antagandet av Europaparlamentets och rådets förordning om ändring av förordningarna (EU) nr 1092/2010, (EU) nr 1093/2010, (EU) nr 1094/2010, (EU) nr 1095/2010, (EU) nr 806/2014, (EU) 2021/523 och (EU) 2024/1620 vad gäller vissa rapporteringskrav på områdena finansiella tjänster och investeringsstöd</w:t>
      </w:r>
      <w:bookmarkEnd w:id="5"/>
      <w:r w:rsidRPr="009D0FBB">
        <w:t xml:space="preserve"> </w:t>
      </w:r>
      <w:bookmarkStart w:id="6" w:name="References"/>
      <w:r w:rsidRPr="009D0FBB">
        <w:t>(07377/1/2025 – C10-0196/2025 – 2023/0363(COD))</w:t>
      </w:r>
      <w:bookmarkEnd w:id="6"/>
    </w:p>
    <w:p w14:paraId="145CFEC2" w14:textId="77777777" w:rsidR="00F6712B" w:rsidRPr="009D0FBB" w:rsidRDefault="00F6712B" w:rsidP="00F6712B">
      <w:pPr>
        <w:pStyle w:val="NormalBold"/>
      </w:pPr>
      <w:r w:rsidRPr="009D0FBB">
        <w:t>(Ordinarie lagstiftningsförfarande: andra behandlingen)</w:t>
      </w:r>
    </w:p>
    <w:p w14:paraId="4EA61A25" w14:textId="77777777" w:rsidR="00F6712B" w:rsidRPr="009D0FBB" w:rsidRDefault="00F6712B" w:rsidP="00F6712B">
      <w:pPr>
        <w:pStyle w:val="EPComma"/>
      </w:pPr>
      <w:r w:rsidRPr="009D0FBB">
        <w:rPr>
          <w:i/>
          <w:iCs/>
        </w:rPr>
        <w:t>Europaparlamentet utfärdar denna resolution</w:t>
      </w:r>
    </w:p>
    <w:p w14:paraId="5545EAD1" w14:textId="77777777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rådets ståndpunkt vid första behandlingen (07377/1/2025 – C10</w:t>
      </w:r>
      <w:r w:rsidRPr="009D0FBB">
        <w:noBreakHyphen/>
        <w:t>0196/2025),</w:t>
      </w:r>
    </w:p>
    <w:p w14:paraId="764E3D1F" w14:textId="47EC74B4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Europeiska centralbankens yttrande av den </w:t>
      </w:r>
      <w:r w:rsidR="00BC0A1F" w:rsidRPr="009D0FBB">
        <w:t>21 </w:t>
      </w:r>
      <w:r w:rsidRPr="009D0FBB">
        <w:t>juni 2024</w:t>
      </w:r>
      <w:r w:rsidRPr="009D0FBB">
        <w:rPr>
          <w:rStyle w:val="FootnoteReference"/>
        </w:rPr>
        <w:footnoteReference w:id="1"/>
      </w:r>
      <w:r w:rsidRPr="009D0FBB">
        <w:t>,</w:t>
      </w:r>
    </w:p>
    <w:p w14:paraId="328BCF5D" w14:textId="77777777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Europeiska ekonomiska och sociala kommitténs yttrande av den 14 februari 2024</w:t>
      </w:r>
      <w:r w:rsidRPr="009D0FBB">
        <w:rPr>
          <w:rStyle w:val="FootnoteReference"/>
        </w:rPr>
        <w:footnoteReference w:id="2"/>
      </w:r>
      <w:r w:rsidRPr="009D0FBB">
        <w:t>,</w:t>
      </w:r>
    </w:p>
    <w:p w14:paraId="389EFB6D" w14:textId="77777777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efter att ha hört Regionkommittén,</w:t>
      </w:r>
    </w:p>
    <w:p w14:paraId="462059DE" w14:textId="77777777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sin ståndpunkt vid första behandlingen av ärendet</w:t>
      </w:r>
      <w:r w:rsidRPr="009D0FBB">
        <w:rPr>
          <w:rStyle w:val="FootnoteReference"/>
        </w:rPr>
        <w:footnoteReference w:id="3"/>
      </w:r>
      <w:r w:rsidRPr="009D0FBB">
        <w:t>, en behandling som avsåg kommissionens förslag till Europaparlamentet och rådet (COM(2023)0593),</w:t>
      </w:r>
    </w:p>
    <w:p w14:paraId="6224683F" w14:textId="77777777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artikel 294.7 i fördraget om Europeiska unionens funktionssätt,</w:t>
      </w:r>
    </w:p>
    <w:p w14:paraId="29C0277C" w14:textId="7FA460BD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den preliminära överenskommelse som godkänts av de</w:t>
      </w:r>
      <w:r w:rsidR="00CC7389" w:rsidRPr="009D0FBB">
        <w:t>t</w:t>
      </w:r>
      <w:r w:rsidRPr="009D0FBB">
        <w:t xml:space="preserve"> ansvariga utskotte</w:t>
      </w:r>
      <w:r w:rsidR="00CC7389" w:rsidRPr="009D0FBB">
        <w:t>t</w:t>
      </w:r>
      <w:r w:rsidRPr="009D0FBB">
        <w:t xml:space="preserve"> </w:t>
      </w:r>
      <w:r w:rsidR="00CC7389" w:rsidRPr="009D0FBB">
        <w:t>enligt</w:t>
      </w:r>
      <w:r w:rsidRPr="009D0FBB">
        <w:t xml:space="preserve"> artikel 75.4 i arbetsordningen,</w:t>
      </w:r>
    </w:p>
    <w:p w14:paraId="4BB7776B" w14:textId="77777777" w:rsidR="00F6712B" w:rsidRPr="009D0FBB" w:rsidRDefault="00F6712B" w:rsidP="00F6712B">
      <w:pPr>
        <w:pStyle w:val="NormalHanging12a"/>
      </w:pPr>
      <w:r w:rsidRPr="009D0FBB">
        <w:lastRenderedPageBreak/>
        <w:t>–</w:t>
      </w:r>
      <w:r w:rsidRPr="009D0FBB">
        <w:tab/>
        <w:t>med beaktande av artikel 68 i arbetsordningen,</w:t>
      </w:r>
    </w:p>
    <w:p w14:paraId="586D26A0" w14:textId="77777777" w:rsidR="00F6712B" w:rsidRPr="009D0FBB" w:rsidRDefault="00F6712B" w:rsidP="00F6712B">
      <w:pPr>
        <w:pStyle w:val="NormalHanging12a"/>
      </w:pPr>
      <w:r w:rsidRPr="009D0FBB">
        <w:t>–</w:t>
      </w:r>
      <w:r w:rsidRPr="009D0FBB">
        <w:tab/>
        <w:t>med beaktande av andrabehandlingsrekommendationen från utskottet för ekonomi och valutafrågor (A10-0166/2025).</w:t>
      </w:r>
    </w:p>
    <w:p w14:paraId="6E6FB166" w14:textId="77777777" w:rsidR="00F6712B" w:rsidRPr="009D0FBB" w:rsidRDefault="00F6712B" w:rsidP="00F6712B">
      <w:pPr>
        <w:pStyle w:val="NormalHanging12a"/>
      </w:pPr>
      <w:r w:rsidRPr="009D0FBB">
        <w:t>1.</w:t>
      </w:r>
      <w:r w:rsidRPr="009D0FBB">
        <w:tab/>
        <w:t>Europaparlamentet godkänner rådets ståndpunkt vid första behandlingen.</w:t>
      </w:r>
    </w:p>
    <w:p w14:paraId="4DF577C3" w14:textId="77777777" w:rsidR="00F6712B" w:rsidRPr="009D0FBB" w:rsidRDefault="00F6712B" w:rsidP="00F6712B">
      <w:pPr>
        <w:pStyle w:val="NormalHanging12a"/>
      </w:pPr>
      <w:r w:rsidRPr="009D0FBB">
        <w:t>2.</w:t>
      </w:r>
      <w:r w:rsidRPr="009D0FBB">
        <w:tab/>
        <w:t>Europaparlamentet konstaterar att rättsakten är antagen i enlighet med rådets ståndpunkt.</w:t>
      </w:r>
    </w:p>
    <w:p w14:paraId="5D004848" w14:textId="77777777" w:rsidR="00F6712B" w:rsidRPr="009D0FBB" w:rsidRDefault="00F6712B" w:rsidP="00F6712B">
      <w:pPr>
        <w:pStyle w:val="NormalHanging12a"/>
      </w:pPr>
      <w:r w:rsidRPr="009D0FBB">
        <w:t>3.</w:t>
      </w:r>
      <w:r w:rsidRPr="009D0FBB">
        <w:tab/>
        <w:t>Europaparlamentet uppdrar åt talmannen att tillsammans med rådets ordförande underteckna akten i enlighet med artikel 297.1 i fördraget om Europeiska unionens funktionssätt.</w:t>
      </w:r>
    </w:p>
    <w:p w14:paraId="6EE1E731" w14:textId="77777777" w:rsidR="00F6712B" w:rsidRPr="009D0FBB" w:rsidRDefault="00F6712B" w:rsidP="00F6712B">
      <w:pPr>
        <w:pStyle w:val="NormalHanging12a"/>
        <w:widowControl/>
      </w:pPr>
      <w:r w:rsidRPr="009D0FBB">
        <w:t>4.</w:t>
      </w:r>
      <w:r w:rsidRPr="009D0FBB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9D0FBB">
        <w:rPr>
          <w:i/>
          <w:iCs/>
        </w:rPr>
        <w:t>Europeiska unionens officiella tidning</w:t>
      </w:r>
      <w:r w:rsidRPr="009D0FBB">
        <w:t>.</w:t>
      </w:r>
    </w:p>
    <w:p w14:paraId="6B6F385C" w14:textId="32A9CDDA" w:rsidR="000F17D0" w:rsidRPr="000F17D0" w:rsidRDefault="00F6712B" w:rsidP="000F17D0">
      <w:pPr>
        <w:pStyle w:val="NormalHanging12a"/>
      </w:pPr>
      <w:r w:rsidRPr="009D0FBB">
        <w:t>5.</w:t>
      </w:r>
      <w:r w:rsidRPr="009D0FBB">
        <w:tab/>
        <w:t>Europaparlamentet uppdrar åt talmannen att översända parlamentets ståndpunkt till rådet, kommissionen och de nationella parlamenten.</w:t>
      </w:r>
    </w:p>
    <w:p w14:paraId="203D4DE9" w14:textId="5AFA1496" w:rsidR="00E365E1" w:rsidRPr="000F17D0" w:rsidRDefault="00E365E1" w:rsidP="00576135"/>
    <w:sectPr w:rsidR="00E365E1" w:rsidRPr="000F17D0" w:rsidSect="000F17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75DB8" w14:textId="77777777" w:rsidR="00576135" w:rsidRPr="000F17D0" w:rsidRDefault="00576135">
      <w:r w:rsidRPr="000F17D0">
        <w:separator/>
      </w:r>
    </w:p>
  </w:endnote>
  <w:endnote w:type="continuationSeparator" w:id="0">
    <w:p w14:paraId="74C3BC35" w14:textId="77777777" w:rsidR="00576135" w:rsidRPr="000F17D0" w:rsidRDefault="00576135">
      <w:r w:rsidRPr="000F17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00F78" w14:textId="77777777" w:rsidR="00064002" w:rsidRPr="000F17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C8E70" w14:textId="77777777" w:rsidR="00064002" w:rsidRPr="000F17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9A41" w14:textId="77777777" w:rsidR="00064002" w:rsidRPr="000F17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1F575" w14:textId="77777777" w:rsidR="00576135" w:rsidRPr="000F17D0" w:rsidRDefault="00576135">
      <w:r w:rsidRPr="000F17D0">
        <w:separator/>
      </w:r>
    </w:p>
  </w:footnote>
  <w:footnote w:type="continuationSeparator" w:id="0">
    <w:p w14:paraId="120B01F5" w14:textId="77777777" w:rsidR="00576135" w:rsidRPr="000F17D0" w:rsidRDefault="00576135">
      <w:r w:rsidRPr="000F17D0">
        <w:continuationSeparator/>
      </w:r>
    </w:p>
  </w:footnote>
  <w:footnote w:id="1">
    <w:p w14:paraId="571AAD36" w14:textId="52154D98" w:rsidR="00F6712B" w:rsidRPr="009D0FBB" w:rsidRDefault="00F6712B" w:rsidP="000F17D0">
      <w:pPr>
        <w:pStyle w:val="FootnoteText"/>
        <w:ind w:left="567" w:hanging="567"/>
        <w:rPr>
          <w:sz w:val="24"/>
          <w:lang w:val="fi-FI"/>
        </w:rPr>
      </w:pPr>
      <w:r w:rsidRPr="009D0FBB">
        <w:rPr>
          <w:rStyle w:val="FootnoteReference"/>
          <w:sz w:val="24"/>
          <w:lang w:val="sv-SE"/>
        </w:rPr>
        <w:footnoteRef/>
      </w:r>
      <w:r w:rsidR="000F17D0" w:rsidRPr="009D0FBB">
        <w:rPr>
          <w:sz w:val="24"/>
          <w:lang w:val="fi-FI"/>
        </w:rPr>
        <w:t xml:space="preserve"> </w:t>
      </w:r>
      <w:r w:rsidR="000F17D0" w:rsidRPr="009D0FBB">
        <w:rPr>
          <w:sz w:val="24"/>
          <w:lang w:val="fi-FI"/>
        </w:rPr>
        <w:tab/>
      </w:r>
      <w:r w:rsidRPr="009D0FBB">
        <w:rPr>
          <w:sz w:val="24"/>
          <w:lang w:val="fi-FI"/>
        </w:rPr>
        <w:t>EUT C</w:t>
      </w:r>
      <w:r w:rsidR="00CC7389" w:rsidRPr="009D0FBB">
        <w:rPr>
          <w:sz w:val="24"/>
          <w:lang w:val="fi-FI"/>
        </w:rPr>
        <w:t>,</w:t>
      </w:r>
      <w:r w:rsidRPr="009D0FBB">
        <w:rPr>
          <w:sz w:val="24"/>
          <w:lang w:val="fi-FI"/>
        </w:rPr>
        <w:t xml:space="preserve"> </w:t>
      </w:r>
      <w:r w:rsidR="0019691E">
        <w:rPr>
          <w:sz w:val="24"/>
          <w:lang w:val="fi-FI"/>
        </w:rPr>
        <w:t>C/</w:t>
      </w:r>
      <w:r w:rsidRPr="009D0FBB">
        <w:rPr>
          <w:sz w:val="24"/>
          <w:lang w:val="fi-FI"/>
        </w:rPr>
        <w:t xml:space="preserve">2024/5048, 16.8.2024, ELI: </w:t>
      </w:r>
      <w:hyperlink r:id="rId1" w:tgtFrame="_blank" w:tooltip="Ger tillgång till detta dokument via dess ELI URI." w:history="1">
        <w:r w:rsidRPr="009D0FBB">
          <w:rPr>
            <w:rStyle w:val="Hyperlink"/>
            <w:sz w:val="24"/>
            <w:lang w:val="fi-FI"/>
          </w:rPr>
          <w:t>http://data.europa.eu/eli/C/2024/5048/oj</w:t>
        </w:r>
      </w:hyperlink>
      <w:r w:rsidRPr="009D0FBB">
        <w:rPr>
          <w:sz w:val="24"/>
          <w:lang w:val="fi-FI"/>
        </w:rPr>
        <w:t>.</w:t>
      </w:r>
    </w:p>
  </w:footnote>
  <w:footnote w:id="2">
    <w:p w14:paraId="3573C3CA" w14:textId="5FB58BEA" w:rsidR="00F6712B" w:rsidRPr="009D0FBB" w:rsidRDefault="00F6712B" w:rsidP="000F17D0">
      <w:pPr>
        <w:pStyle w:val="FootnoteText"/>
        <w:ind w:left="567" w:hanging="567"/>
        <w:rPr>
          <w:sz w:val="24"/>
          <w:lang w:val="fi-FI"/>
        </w:rPr>
      </w:pPr>
      <w:r w:rsidRPr="009D0FBB">
        <w:rPr>
          <w:rStyle w:val="FootnoteReference"/>
          <w:sz w:val="24"/>
          <w:lang w:val="sv-SE"/>
        </w:rPr>
        <w:footnoteRef/>
      </w:r>
      <w:r w:rsidR="000F17D0" w:rsidRPr="009D0FBB">
        <w:rPr>
          <w:sz w:val="24"/>
          <w:lang w:val="fi-FI"/>
        </w:rPr>
        <w:t xml:space="preserve"> </w:t>
      </w:r>
      <w:r w:rsidR="000F17D0" w:rsidRPr="009D0FBB">
        <w:rPr>
          <w:sz w:val="24"/>
          <w:lang w:val="fi-FI"/>
        </w:rPr>
        <w:tab/>
      </w:r>
      <w:r w:rsidRPr="009D0FBB">
        <w:rPr>
          <w:sz w:val="24"/>
          <w:lang w:val="fi-FI"/>
        </w:rPr>
        <w:t>EUT C</w:t>
      </w:r>
      <w:r w:rsidR="00CC7389" w:rsidRPr="009D0FBB">
        <w:rPr>
          <w:sz w:val="24"/>
          <w:lang w:val="fi-FI"/>
        </w:rPr>
        <w:t>,</w:t>
      </w:r>
      <w:r w:rsidRPr="009D0FBB">
        <w:rPr>
          <w:sz w:val="24"/>
          <w:lang w:val="fi-FI"/>
        </w:rPr>
        <w:t xml:space="preserve"> </w:t>
      </w:r>
      <w:r w:rsidR="0019691E">
        <w:rPr>
          <w:sz w:val="24"/>
          <w:lang w:val="fi-FI"/>
        </w:rPr>
        <w:t>C/</w:t>
      </w:r>
      <w:r w:rsidRPr="009D0FBB">
        <w:rPr>
          <w:sz w:val="24"/>
          <w:lang w:val="fi-FI"/>
        </w:rPr>
        <w:t xml:space="preserve">2024/2485, 23.4.2024, ELI: </w:t>
      </w:r>
      <w:hyperlink r:id="rId2" w:history="1">
        <w:r w:rsidRPr="009D0FBB">
          <w:rPr>
            <w:rStyle w:val="Hyperlink"/>
            <w:sz w:val="24"/>
            <w:lang w:val="fi-FI"/>
          </w:rPr>
          <w:t>http://data.europa.eu/eli/C/2024/2485/oj</w:t>
        </w:r>
      </w:hyperlink>
      <w:r w:rsidRPr="009D0FBB">
        <w:rPr>
          <w:sz w:val="24"/>
          <w:lang w:val="fi-FI"/>
        </w:rPr>
        <w:t>.</w:t>
      </w:r>
    </w:p>
  </w:footnote>
  <w:footnote w:id="3">
    <w:p w14:paraId="352AE7B0" w14:textId="6020290C" w:rsidR="00F6712B" w:rsidRPr="009D0FBB" w:rsidRDefault="00F6712B" w:rsidP="000F17D0">
      <w:pPr>
        <w:pStyle w:val="FootnoteText"/>
        <w:ind w:left="567" w:hanging="567"/>
        <w:rPr>
          <w:sz w:val="24"/>
          <w:lang w:val="fr-BE"/>
        </w:rPr>
      </w:pPr>
      <w:r w:rsidRPr="009D0FBB">
        <w:rPr>
          <w:rStyle w:val="FootnoteReference"/>
          <w:sz w:val="24"/>
          <w:lang w:val="sv-SE"/>
        </w:rPr>
        <w:footnoteRef/>
      </w:r>
      <w:r w:rsidR="000F17D0" w:rsidRPr="009D0FBB">
        <w:rPr>
          <w:sz w:val="24"/>
          <w:lang w:val="fr-BE"/>
        </w:rPr>
        <w:t xml:space="preserve"> </w:t>
      </w:r>
      <w:r w:rsidR="000F17D0" w:rsidRPr="009D0FBB">
        <w:rPr>
          <w:sz w:val="24"/>
          <w:lang w:val="fr-BE"/>
        </w:rPr>
        <w:tab/>
      </w:r>
      <w:r w:rsidR="00CC7389" w:rsidRPr="009D0FBB">
        <w:rPr>
          <w:sz w:val="24"/>
          <w:lang w:val="fr-BE"/>
        </w:rPr>
        <w:t xml:space="preserve">EUT C, C/2025/1021, 27.2.2025, </w:t>
      </w:r>
      <w:proofErr w:type="gramStart"/>
      <w:r w:rsidR="00CC7389" w:rsidRPr="009D0FBB">
        <w:rPr>
          <w:sz w:val="24"/>
          <w:lang w:val="fr-BE"/>
        </w:rPr>
        <w:t>ELI:</w:t>
      </w:r>
      <w:proofErr w:type="gramEnd"/>
      <w:r w:rsidR="00CC7389" w:rsidRPr="009D0FBB">
        <w:rPr>
          <w:sz w:val="24"/>
          <w:lang w:val="fr-BE"/>
        </w:rPr>
        <w:t> </w:t>
      </w:r>
      <w:hyperlink r:id="rId3" w:tgtFrame="_blank" w:tooltip="Gives access to this document through its ELI URI." w:history="1">
        <w:r w:rsidR="00CC7389" w:rsidRPr="009D0FBB">
          <w:rPr>
            <w:rStyle w:val="Hyperlink"/>
            <w:sz w:val="24"/>
            <w:lang w:val="fr-BE"/>
          </w:rPr>
          <w:t>http://data.europa.eu/eli/C/2025/1021/oj</w:t>
        </w:r>
      </w:hyperlink>
      <w:r w:rsidR="00CC7389" w:rsidRPr="009D0FBB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1D93C" w14:textId="77777777" w:rsidR="00064002" w:rsidRPr="000F17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1FE4F" w14:textId="77777777" w:rsidR="00064002" w:rsidRPr="000F17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2EB1" w14:textId="77777777" w:rsidR="00064002" w:rsidRPr="000F17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592706">
    <w:abstractNumId w:val="9"/>
  </w:num>
  <w:num w:numId="2" w16cid:durableId="2086683687">
    <w:abstractNumId w:val="9"/>
  </w:num>
  <w:num w:numId="3" w16cid:durableId="1054424023">
    <w:abstractNumId w:val="7"/>
  </w:num>
  <w:num w:numId="4" w16cid:durableId="1667517777">
    <w:abstractNumId w:val="7"/>
  </w:num>
  <w:num w:numId="5" w16cid:durableId="796489890">
    <w:abstractNumId w:val="6"/>
  </w:num>
  <w:num w:numId="6" w16cid:durableId="625937627">
    <w:abstractNumId w:val="6"/>
  </w:num>
  <w:num w:numId="7" w16cid:durableId="618295858">
    <w:abstractNumId w:val="5"/>
  </w:num>
  <w:num w:numId="8" w16cid:durableId="1630554925">
    <w:abstractNumId w:val="5"/>
  </w:num>
  <w:num w:numId="9" w16cid:durableId="1849711337">
    <w:abstractNumId w:val="4"/>
  </w:num>
  <w:num w:numId="10" w16cid:durableId="1610238366">
    <w:abstractNumId w:val="4"/>
  </w:num>
  <w:num w:numId="11" w16cid:durableId="547841084">
    <w:abstractNumId w:val="8"/>
  </w:num>
  <w:num w:numId="12" w16cid:durableId="406540865">
    <w:abstractNumId w:val="8"/>
  </w:num>
  <w:num w:numId="13" w16cid:durableId="1822770503">
    <w:abstractNumId w:val="3"/>
  </w:num>
  <w:num w:numId="14" w16cid:durableId="1391810293">
    <w:abstractNumId w:val="3"/>
  </w:num>
  <w:num w:numId="15" w16cid:durableId="1221670424">
    <w:abstractNumId w:val="2"/>
  </w:num>
  <w:num w:numId="16" w16cid:durableId="1144081491">
    <w:abstractNumId w:val="2"/>
  </w:num>
  <w:num w:numId="17" w16cid:durableId="1301954516">
    <w:abstractNumId w:val="1"/>
  </w:num>
  <w:num w:numId="18" w16cid:durableId="144517627">
    <w:abstractNumId w:val="1"/>
  </w:num>
  <w:num w:numId="19" w16cid:durableId="1128935571">
    <w:abstractNumId w:val="0"/>
  </w:num>
  <w:num w:numId="20" w16cid:durableId="56169154">
    <w:abstractNumId w:val="0"/>
  </w:num>
  <w:num w:numId="21" w16cid:durableId="49694652">
    <w:abstractNumId w:val="9"/>
  </w:num>
  <w:num w:numId="22" w16cid:durableId="1186478916">
    <w:abstractNumId w:val="7"/>
  </w:num>
  <w:num w:numId="23" w16cid:durableId="458955776">
    <w:abstractNumId w:val="6"/>
  </w:num>
  <w:num w:numId="24" w16cid:durableId="1578904393">
    <w:abstractNumId w:val="5"/>
  </w:num>
  <w:num w:numId="25" w16cid:durableId="1889300925">
    <w:abstractNumId w:val="4"/>
  </w:num>
  <w:num w:numId="26" w16cid:durableId="1795899513">
    <w:abstractNumId w:val="8"/>
  </w:num>
  <w:num w:numId="27" w16cid:durableId="1636252998">
    <w:abstractNumId w:val="3"/>
  </w:num>
  <w:num w:numId="28" w16cid:durableId="820536736">
    <w:abstractNumId w:val="2"/>
  </w:num>
  <w:num w:numId="29" w16cid:durableId="948664205">
    <w:abstractNumId w:val="1"/>
  </w:num>
  <w:num w:numId="30" w16cid:durableId="228927407">
    <w:abstractNumId w:val="0"/>
  </w:num>
  <w:num w:numId="31" w16cid:durableId="678386096">
    <w:abstractNumId w:val="9"/>
  </w:num>
  <w:num w:numId="32" w16cid:durableId="706955146">
    <w:abstractNumId w:val="7"/>
  </w:num>
  <w:num w:numId="33" w16cid:durableId="1988975902">
    <w:abstractNumId w:val="6"/>
  </w:num>
  <w:num w:numId="34" w16cid:durableId="195967756">
    <w:abstractNumId w:val="5"/>
  </w:num>
  <w:num w:numId="35" w16cid:durableId="1270897544">
    <w:abstractNumId w:val="4"/>
  </w:num>
  <w:num w:numId="36" w16cid:durableId="1898206401">
    <w:abstractNumId w:val="8"/>
  </w:num>
  <w:num w:numId="37" w16cid:durableId="1972859810">
    <w:abstractNumId w:val="3"/>
  </w:num>
  <w:num w:numId="38" w16cid:durableId="2083870471">
    <w:abstractNumId w:val="2"/>
  </w:num>
  <w:num w:numId="39" w16cid:durableId="1647707901">
    <w:abstractNumId w:val="1"/>
  </w:num>
  <w:num w:numId="40" w16cid:durableId="419639614">
    <w:abstractNumId w:val="0"/>
  </w:num>
  <w:num w:numId="41" w16cid:durableId="1509977388">
    <w:abstractNumId w:val="10"/>
  </w:num>
  <w:num w:numId="42" w16cid:durableId="823162682">
    <w:abstractNumId w:val="10"/>
  </w:num>
  <w:num w:numId="43" w16cid:durableId="1445349671">
    <w:abstractNumId w:val="10"/>
  </w:num>
  <w:num w:numId="44" w16cid:durableId="156684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SV"/>
    <w:docVar w:name="dvnumam" w:val="0"/>
    <w:docVar w:name="dvpe" w:val="777.025"/>
    <w:docVar w:name="dvrapporteur" w:val="Föredragande: "/>
    <w:docVar w:name="dvstar" w:val="***II"/>
    <w:docVar w:name="dvtitre" w:val="Europaparlamentets lagstiftningsresolution av den xx xx 2025 om rådets ståndpunkt vid första behandlingen inför antagandet av Europaparlamentets och rådets förordning om ändring av förordningarna (EU) nr 1092/2010, (EU) nr 1093/2010, (EU) nr 1094/2010, (EU) nr 1095/2010, (EU) nr 806/2014, (EU) 2021/523 och (EU) 2024/1620 vad gäller vissa rapporteringskrav på områdena finansiella tjänster och investeringsstöd(07377/1/2025 – C10-0196/2025 – 2023/0363(COD))"/>
  </w:docVars>
  <w:rsids>
    <w:rsidRoot w:val="00576135"/>
    <w:rsid w:val="00002272"/>
    <w:rsid w:val="00064002"/>
    <w:rsid w:val="000677B9"/>
    <w:rsid w:val="000831BA"/>
    <w:rsid w:val="000A42CC"/>
    <w:rsid w:val="000E7DD9"/>
    <w:rsid w:val="000F17D0"/>
    <w:rsid w:val="0010095E"/>
    <w:rsid w:val="00125B37"/>
    <w:rsid w:val="00136500"/>
    <w:rsid w:val="00187494"/>
    <w:rsid w:val="0019691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13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FBB"/>
    <w:rsid w:val="00A1386D"/>
    <w:rsid w:val="00A1687D"/>
    <w:rsid w:val="00A2012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A1F"/>
    <w:rsid w:val="00BD48FE"/>
    <w:rsid w:val="00BD7BD8"/>
    <w:rsid w:val="00BE6ADC"/>
    <w:rsid w:val="00C05BFE"/>
    <w:rsid w:val="00C23CD4"/>
    <w:rsid w:val="00C61C0C"/>
    <w:rsid w:val="00C941CB"/>
    <w:rsid w:val="00CC2357"/>
    <w:rsid w:val="00CC7389"/>
    <w:rsid w:val="00CD6B73"/>
    <w:rsid w:val="00CF071A"/>
    <w:rsid w:val="00D058B8"/>
    <w:rsid w:val="00D56C11"/>
    <w:rsid w:val="00D834A0"/>
    <w:rsid w:val="00D872DF"/>
    <w:rsid w:val="00D91E21"/>
    <w:rsid w:val="00DA3A3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12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EC4F8"/>
  <w15:chartTrackingRefBased/>
  <w15:docId w15:val="{ED4AD26F-A8F0-461E-A8BA-B783ADF6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712B"/>
    <w:pPr>
      <w:spacing w:before="480" w:after="240"/>
    </w:pPr>
  </w:style>
  <w:style w:type="paragraph" w:customStyle="1" w:styleId="NormalBold">
    <w:name w:val="NormalBold"/>
    <w:basedOn w:val="Normal"/>
    <w:rsid w:val="00F6712B"/>
    <w:rPr>
      <w:b/>
    </w:rPr>
  </w:style>
  <w:style w:type="paragraph" w:customStyle="1" w:styleId="NormalHanging12a">
    <w:name w:val="NormalHanging12a"/>
    <w:basedOn w:val="Normal"/>
    <w:rsid w:val="00F6712B"/>
    <w:pPr>
      <w:spacing w:after="240"/>
      <w:ind w:left="567" w:hanging="567"/>
    </w:pPr>
  </w:style>
  <w:style w:type="character" w:styleId="Hyperlink">
    <w:name w:val="Hyperlink"/>
    <w:basedOn w:val="DefaultParagraphFont"/>
    <w:rsid w:val="00F6712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C0A1F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2180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2025-12-15T13:19:00Z</dcterms:created>
  <dcterms:modified xsi:type="dcterms:W3CDTF">2025-12-15T13:19:00Z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