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33A79" w14:paraId="4C0F771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6C8AB7" w14:textId="77777777" w:rsidR="00751A4A" w:rsidRPr="00933A79" w:rsidRDefault="00102E08" w:rsidP="0010095E">
            <w:pPr>
              <w:pStyle w:val="EPName"/>
            </w:pPr>
            <w:r w:rsidRPr="00933A79">
              <w:t>Parlament Ewropew</w:t>
            </w:r>
          </w:p>
          <w:p w14:paraId="42126F4A" w14:textId="77777777" w:rsidR="00751A4A" w:rsidRPr="00933A7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33A79">
              <w:t>2024</w:t>
            </w:r>
            <w:r w:rsidR="00817416" w:rsidRPr="00933A79">
              <w:t>-202</w:t>
            </w:r>
            <w:r w:rsidRPr="00933A79">
              <w:t>9</w:t>
            </w:r>
          </w:p>
        </w:tc>
        <w:tc>
          <w:tcPr>
            <w:tcW w:w="2268" w:type="dxa"/>
            <w:shd w:val="clear" w:color="auto" w:fill="auto"/>
          </w:tcPr>
          <w:p w14:paraId="5844376F" w14:textId="77777777" w:rsidR="00751A4A" w:rsidRPr="00933A79" w:rsidRDefault="00187494" w:rsidP="0010095E">
            <w:pPr>
              <w:pStyle w:val="EPLogo"/>
            </w:pPr>
            <w:r w:rsidRPr="00933A79">
              <w:rPr>
                <w:noProof/>
                <w:lang w:eastAsia="ja-JP"/>
              </w:rPr>
              <w:drawing>
                <wp:inline distT="0" distB="0" distL="0" distR="0" wp14:anchorId="4F48BB8B" wp14:editId="344FA1E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587810" w14:textId="77777777" w:rsidR="00D058B8" w:rsidRPr="00933A79" w:rsidRDefault="00D058B8" w:rsidP="004C5D52">
      <w:pPr>
        <w:pStyle w:val="LineTop"/>
      </w:pPr>
    </w:p>
    <w:p w14:paraId="4502B4F6" w14:textId="77777777" w:rsidR="00680577" w:rsidRPr="00933A79" w:rsidRDefault="00102E08" w:rsidP="00680577">
      <w:pPr>
        <w:pStyle w:val="EPBodyTA1"/>
      </w:pPr>
      <w:r w:rsidRPr="00933A79">
        <w:t>TESTI ADOTTATI</w:t>
      </w:r>
    </w:p>
    <w:p w14:paraId="13E50F38" w14:textId="77777777" w:rsidR="00D058B8" w:rsidRPr="00933A79" w:rsidRDefault="00D058B8" w:rsidP="00D058B8">
      <w:pPr>
        <w:pStyle w:val="LineBottom"/>
      </w:pPr>
    </w:p>
    <w:p w14:paraId="5585A69E" w14:textId="39F5469C" w:rsidR="00102E08" w:rsidRPr="00933A79" w:rsidRDefault="00102E08" w:rsidP="00102E08">
      <w:pPr>
        <w:pStyle w:val="ATHeading1"/>
      </w:pPr>
      <w:bookmarkStart w:id="0" w:name="TANumber"/>
      <w:r w:rsidRPr="00933A79">
        <w:t>P10_TA(2025)0</w:t>
      </w:r>
      <w:bookmarkEnd w:id="0"/>
      <w:r w:rsidR="001827B0">
        <w:t>209</w:t>
      </w:r>
    </w:p>
    <w:p w14:paraId="0355DBFC" w14:textId="1481B56A" w:rsidR="00102E08" w:rsidRPr="00933A79" w:rsidRDefault="008D75E7" w:rsidP="00102E08">
      <w:pPr>
        <w:pStyle w:val="ATHeading2"/>
      </w:pPr>
      <w:bookmarkStart w:id="1" w:name="title"/>
      <w:r w:rsidRPr="008D75E7">
        <w:t>Reviżjoni tal-Mekkaniżmu ta’ Sospensjoni tal-Viża</w:t>
      </w:r>
      <w:bookmarkEnd w:id="1"/>
    </w:p>
    <w:p w14:paraId="0FE50B32" w14:textId="77777777" w:rsidR="00102E08" w:rsidRPr="00933A79" w:rsidRDefault="00102E08" w:rsidP="00102E08">
      <w:pPr>
        <w:rPr>
          <w:i/>
          <w:vanish/>
        </w:rPr>
      </w:pPr>
      <w:r w:rsidRPr="00933A79">
        <w:rPr>
          <w:i/>
        </w:rPr>
        <w:fldChar w:fldCharType="begin"/>
      </w:r>
      <w:r w:rsidRPr="00933A79">
        <w:rPr>
          <w:i/>
        </w:rPr>
        <w:instrText xml:space="preserve"> TC"(</w:instrText>
      </w:r>
      <w:bookmarkStart w:id="2" w:name="DocNumber"/>
      <w:r w:rsidRPr="00933A79">
        <w:rPr>
          <w:i/>
        </w:rPr>
        <w:instrText>A10-0035/2025</w:instrText>
      </w:r>
      <w:bookmarkEnd w:id="2"/>
      <w:r w:rsidRPr="00933A79">
        <w:rPr>
          <w:i/>
        </w:rPr>
        <w:instrText xml:space="preserve"> - Rapporteur: Matjaž Nemec)"\l3 \n&gt; \* MERGEFORMAT </w:instrText>
      </w:r>
      <w:r w:rsidRPr="00933A79">
        <w:rPr>
          <w:i/>
        </w:rPr>
        <w:fldChar w:fldCharType="end"/>
      </w:r>
    </w:p>
    <w:p w14:paraId="60EB3CED" w14:textId="77777777" w:rsidR="00102E08" w:rsidRPr="00933A79" w:rsidRDefault="00102E08" w:rsidP="00102E08">
      <w:pPr>
        <w:rPr>
          <w:vanish/>
        </w:rPr>
      </w:pPr>
      <w:bookmarkStart w:id="3" w:name="Commission"/>
      <w:r w:rsidRPr="00933A79">
        <w:rPr>
          <w:vanish/>
        </w:rPr>
        <w:t>Kumitat għal-Libertajiet Ċivili, il-Ġustizzja u l-Intern</w:t>
      </w:r>
      <w:bookmarkEnd w:id="3"/>
    </w:p>
    <w:p w14:paraId="3B8D400B" w14:textId="77777777" w:rsidR="00102E08" w:rsidRPr="00933A79" w:rsidRDefault="00102E08" w:rsidP="00102E08">
      <w:pPr>
        <w:rPr>
          <w:vanish/>
        </w:rPr>
      </w:pPr>
      <w:bookmarkStart w:id="4" w:name="PE"/>
      <w:r w:rsidRPr="00933A79">
        <w:rPr>
          <w:vanish/>
        </w:rPr>
        <w:t>PE770.058</w:t>
      </w:r>
      <w:bookmarkEnd w:id="4"/>
    </w:p>
    <w:p w14:paraId="34DEA7B6" w14:textId="32321434" w:rsidR="00102E08" w:rsidRPr="00933A79" w:rsidRDefault="00102E08" w:rsidP="00102E08">
      <w:pPr>
        <w:pStyle w:val="ATHeading3"/>
      </w:pPr>
      <w:bookmarkStart w:id="5" w:name="Sujet"/>
      <w:r w:rsidRPr="00933A79">
        <w:t xml:space="preserve">Riżoluzzjoni </w:t>
      </w:r>
      <w:proofErr w:type="spellStart"/>
      <w:r w:rsidRPr="00933A79">
        <w:t>leġiżlattiva</w:t>
      </w:r>
      <w:proofErr w:type="spellEnd"/>
      <w:r w:rsidRPr="00933A79">
        <w:t xml:space="preserve"> tal-Parlament Ewropew ta</w:t>
      </w:r>
      <w:r w:rsidR="008B712E">
        <w:t>s-7</w:t>
      </w:r>
      <w:r w:rsidRPr="00933A79">
        <w:t xml:space="preserve"> ta' Ottubru 2025 dwar il-proposta għal regolament tal-Parlament Ewropew u tal-Kunsill li jemenda r-Regolament (UE) 2018/1806 fir-rigward tar-reviżjoni tal-mekkaniżmu ta’ sospensjoni</w:t>
      </w:r>
      <w:bookmarkEnd w:id="5"/>
      <w:r w:rsidRPr="00933A79">
        <w:t xml:space="preserve"> </w:t>
      </w:r>
      <w:bookmarkStart w:id="6" w:name="References"/>
      <w:r w:rsidRPr="00933A79">
        <w:t>(COM(2023)0642 – C9-0392/2023 – 2023/0371(COD))</w:t>
      </w:r>
      <w:bookmarkEnd w:id="6"/>
    </w:p>
    <w:p w14:paraId="1AFAE294" w14:textId="77777777" w:rsidR="00BC103B" w:rsidRPr="00933A79" w:rsidRDefault="00BC103B" w:rsidP="00BC103B">
      <w:pPr>
        <w:pStyle w:val="NormalBold"/>
      </w:pPr>
      <w:r w:rsidRPr="00933A79">
        <w:t>(Proċedura leġiżlattiva ordinarja: l-ewwel qari)</w:t>
      </w:r>
    </w:p>
    <w:p w14:paraId="25D31372" w14:textId="77777777" w:rsidR="00BC103B" w:rsidRPr="00933A79" w:rsidRDefault="00BC103B" w:rsidP="00BC103B">
      <w:pPr>
        <w:pStyle w:val="EPComma"/>
      </w:pPr>
      <w:r w:rsidRPr="00933A79">
        <w:rPr>
          <w:i/>
        </w:rPr>
        <w:t>Il-Parlament Ewropew</w:t>
      </w:r>
      <w:r w:rsidRPr="00933A79">
        <w:t>,</w:t>
      </w:r>
    </w:p>
    <w:p w14:paraId="2D9DC16D" w14:textId="77777777" w:rsidR="00BC103B" w:rsidRPr="00933A79" w:rsidRDefault="00BC103B" w:rsidP="00BC103B">
      <w:pPr>
        <w:pStyle w:val="NormalHanging12a"/>
      </w:pPr>
      <w:r w:rsidRPr="00933A79">
        <w:t>–</w:t>
      </w:r>
      <w:r w:rsidRPr="00933A79">
        <w:tab/>
        <w:t>wara li kkunsidra l-proposta tal-Kummissjoni lill-Parlament Ewropew u lill-Kunsill (COM(2023)0642),</w:t>
      </w:r>
    </w:p>
    <w:p w14:paraId="1812313E" w14:textId="741A5378" w:rsidR="00BC103B" w:rsidRPr="00933A79" w:rsidRDefault="00BC103B" w:rsidP="00BC103B">
      <w:pPr>
        <w:pStyle w:val="NormalHanging12a"/>
      </w:pPr>
      <w:r w:rsidRPr="00933A79">
        <w:t>–</w:t>
      </w:r>
      <w:r w:rsidRPr="00933A79">
        <w:tab/>
        <w:t>wara li kkunsidra l-Artikolu 294(2) u l-Artikolu 77(2)</w:t>
      </w:r>
      <w:r w:rsidR="008D75E7">
        <w:t>, il-punt (a),</w:t>
      </w:r>
      <w:r w:rsidRPr="00933A79">
        <w:t xml:space="preserve"> tat-Trattat dwar il-Funzjonament tal-Unjoni Ewropea, skont liema artikoli l-Kummissjoni ppreżentat il-proposta lill-Parlament (C9</w:t>
      </w:r>
      <w:r w:rsidRPr="00933A79">
        <w:noBreakHyphen/>
        <w:t>0392/2023),</w:t>
      </w:r>
    </w:p>
    <w:p w14:paraId="0CF7C54F" w14:textId="77777777" w:rsidR="00BC103B" w:rsidRDefault="00BC103B" w:rsidP="00BC103B">
      <w:pPr>
        <w:pStyle w:val="NormalHanging12a"/>
      </w:pPr>
      <w:r w:rsidRPr="00933A79">
        <w:t>–</w:t>
      </w:r>
      <w:r w:rsidRPr="00933A79">
        <w:tab/>
        <w:t>wara li kkunsidra l-Artikolu 294(3) tat-Trattat dwar il-Funzjonament tal-Unjoni Ewropea,</w:t>
      </w:r>
    </w:p>
    <w:p w14:paraId="5A13FF3A" w14:textId="7F01EED9" w:rsidR="008B712E" w:rsidRPr="00933A79" w:rsidRDefault="008B712E" w:rsidP="00BC103B">
      <w:pPr>
        <w:pStyle w:val="NormalHanging12a"/>
      </w:pPr>
      <w:r w:rsidRPr="008B712E">
        <w:t>–</w:t>
      </w:r>
      <w:r w:rsidRPr="008B712E">
        <w:tab/>
        <w:t>wara li kkunsidra l-ftehim proviżorju approvat mill-kumitat responsabbli fis-sens tal-Artikolu 75(4) tar-Regoli ta' Proċedura tiegħu u l-impenn meħud mir-rappreżentant tal-Kunsill, permezz tal-ittra ta</w:t>
      </w:r>
      <w:r>
        <w:t>t</w:t>
      </w:r>
      <w:r w:rsidRPr="008B712E">
        <w:t>-</w:t>
      </w:r>
      <w:r>
        <w:t>23</w:t>
      </w:r>
      <w:r w:rsidRPr="008B712E">
        <w:t xml:space="preserve"> ta' </w:t>
      </w:r>
      <w:r>
        <w:t>Ġunju</w:t>
      </w:r>
      <w:r w:rsidRPr="008B712E">
        <w:t xml:space="preserve"> </w:t>
      </w:r>
      <w:r>
        <w:t>2025</w:t>
      </w:r>
      <w:r w:rsidRPr="008B712E">
        <w:t>, li japprova l-pożizzjoni tal-Parlament, skont l-Artikolu 294(4) tat-Trattat dwar il-Funzjonament tal-Unjoni Ewropea,</w:t>
      </w:r>
    </w:p>
    <w:p w14:paraId="18591A81" w14:textId="77777777" w:rsidR="00BC103B" w:rsidRPr="00933A79" w:rsidRDefault="00BC103B" w:rsidP="00BC103B">
      <w:pPr>
        <w:pStyle w:val="NormalHanging12a"/>
      </w:pPr>
      <w:r w:rsidRPr="00933A79">
        <w:t>–</w:t>
      </w:r>
      <w:r w:rsidRPr="00933A79">
        <w:tab/>
        <w:t>wara li kkunsidra l-Artikolu 60 tar-Regoli ta’ Proċedura tiegħu,</w:t>
      </w:r>
    </w:p>
    <w:p w14:paraId="2D5A802F" w14:textId="77777777" w:rsidR="00BC103B" w:rsidRPr="00933A79" w:rsidRDefault="00BC103B" w:rsidP="00BC103B">
      <w:pPr>
        <w:pStyle w:val="NormalHanging12a"/>
      </w:pPr>
      <w:r w:rsidRPr="00933A79">
        <w:t>–</w:t>
      </w:r>
      <w:r w:rsidRPr="00933A79">
        <w:tab/>
        <w:t>wara li kkunsidra r-rapport tal-Kumitat għal-Libertajiet Ċivili, il-Ġustizzja u l-Intern (A10-0035/2025),</w:t>
      </w:r>
    </w:p>
    <w:p w14:paraId="03F46332" w14:textId="77777777" w:rsidR="00BC103B" w:rsidRPr="00933A79" w:rsidRDefault="00BC103B" w:rsidP="00BC103B">
      <w:pPr>
        <w:pStyle w:val="NormalHanging12a"/>
      </w:pPr>
      <w:r w:rsidRPr="00933A79">
        <w:t>1.</w:t>
      </w:r>
      <w:r w:rsidRPr="00933A79">
        <w:tab/>
        <w:t>Jadotta l-pożizzjoni fl-ewwel qari li tidher hawn taħt;</w:t>
      </w:r>
    </w:p>
    <w:p w14:paraId="518E19A7" w14:textId="77777777" w:rsidR="00BC103B" w:rsidRPr="00933A79" w:rsidRDefault="00BC103B" w:rsidP="00BC103B">
      <w:pPr>
        <w:pStyle w:val="NormalHanging12a"/>
      </w:pPr>
      <w:r w:rsidRPr="00933A79">
        <w:t>2.</w:t>
      </w:r>
      <w:r w:rsidRPr="00933A79">
        <w:tab/>
        <w:t xml:space="preserve">Jitlob lill-Kummissjoni </w:t>
      </w:r>
      <w:proofErr w:type="spellStart"/>
      <w:r w:rsidRPr="00933A79">
        <w:t>terġa</w:t>
      </w:r>
      <w:proofErr w:type="spellEnd"/>
      <w:r w:rsidRPr="00933A79">
        <w:t xml:space="preserve">’ tirreferi l-kwistjoni lill-Parlament jekk tibdel il-proposta tagħha, </w:t>
      </w:r>
      <w:proofErr w:type="spellStart"/>
      <w:r w:rsidRPr="00933A79">
        <w:t>temendaha</w:t>
      </w:r>
      <w:proofErr w:type="spellEnd"/>
      <w:r w:rsidRPr="00933A79">
        <w:t xml:space="preserve"> b’mod sustanzjali jew ikollha l-ħsieb li </w:t>
      </w:r>
      <w:proofErr w:type="spellStart"/>
      <w:r w:rsidRPr="00933A79">
        <w:t>temendaha</w:t>
      </w:r>
      <w:proofErr w:type="spellEnd"/>
      <w:r w:rsidRPr="00933A79">
        <w:t xml:space="preserve"> b’mod sustanzjali;</w:t>
      </w:r>
    </w:p>
    <w:p w14:paraId="537B071D" w14:textId="77777777" w:rsidR="00BC103B" w:rsidRPr="00933A79" w:rsidRDefault="00BC103B" w:rsidP="00BC103B">
      <w:pPr>
        <w:pStyle w:val="NormalHanging12a"/>
      </w:pPr>
      <w:r w:rsidRPr="00933A79">
        <w:t>3.</w:t>
      </w:r>
      <w:r w:rsidRPr="00933A79">
        <w:tab/>
        <w:t>Jagħti istruzzjonijiet lill-President tiegħu biex tgħaddi l-pożizzjoni tal-Parlament lill-Kunsill u lill-Kummissjoni kif ukoll lill-parlamenti nazzjonali.</w:t>
      </w:r>
    </w:p>
    <w:p w14:paraId="7A5F3937" w14:textId="77777777" w:rsidR="008B712E" w:rsidRDefault="008B712E" w:rsidP="00BC103B">
      <w:pPr>
        <w:sectPr w:rsidR="008B712E" w:rsidSect="00933A7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CFABAFD" w14:textId="77777777" w:rsidR="00E44A9F" w:rsidRPr="002C5CE5" w:rsidRDefault="00E44A9F" w:rsidP="00E44A9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2C5CE5">
        <w:rPr>
          <w:b/>
          <w:bCs/>
          <w:color w:val="000000"/>
        </w:rPr>
        <w:lastRenderedPageBreak/>
        <w:t>P10_TC1-COD(2023)0371</w:t>
      </w:r>
    </w:p>
    <w:p w14:paraId="23F3D6F3" w14:textId="4482E44B" w:rsidR="00E44A9F" w:rsidRDefault="00E44A9F" w:rsidP="006D2A57">
      <w:pPr>
        <w:rPr>
          <w:b/>
          <w:color w:val="000000"/>
          <w:szCs w:val="24"/>
          <w:lang w:eastAsia="en-US"/>
        </w:rPr>
      </w:pPr>
      <w:r w:rsidRPr="00CE3598">
        <w:rPr>
          <w:rFonts w:eastAsia="Calibri"/>
          <w:b/>
          <w:bCs/>
        </w:rPr>
        <w:t>Pożizzjoni tal-</w:t>
      </w:r>
      <w:r w:rsidRPr="00E44A9F">
        <w:rPr>
          <w:rFonts w:eastAsia="Calibri"/>
          <w:b/>
          <w:bCs/>
        </w:rPr>
        <w:t xml:space="preserve">Parlament Ewropew adottata fl-ewwel qari tas-7 ta’ Ottubru 2025 bil-ħsieb tal-adozzjoni tar-Regolament (UE) 2025/... </w:t>
      </w:r>
      <w:r w:rsidRPr="00E44A9F">
        <w:rPr>
          <w:b/>
          <w:color w:val="000000"/>
          <w:szCs w:val="22"/>
        </w:rPr>
        <w:t>tal</w:t>
      </w:r>
      <w:r w:rsidRPr="00CE3598">
        <w:rPr>
          <w:b/>
          <w:color w:val="000000"/>
          <w:szCs w:val="22"/>
        </w:rPr>
        <w:t>-Parlament Ewropew u tal-Kunsill</w:t>
      </w:r>
      <w:r w:rsidRPr="00CE3598">
        <w:rPr>
          <w:rFonts w:eastAsia="Calibri"/>
          <w:b/>
          <w:szCs w:val="22"/>
        </w:rPr>
        <w:t xml:space="preserve"> </w:t>
      </w:r>
      <w:r w:rsidRPr="00E44A9F">
        <w:rPr>
          <w:b/>
          <w:color w:val="000000"/>
          <w:szCs w:val="24"/>
          <w:lang w:eastAsia="en-US"/>
        </w:rPr>
        <w:t>li jemenda r-Regolament (UE) 2018/1806 fir-rigward tar-reviżjoni tal-mekkaniżmu ta’ sospensjoni</w:t>
      </w:r>
    </w:p>
    <w:p w14:paraId="7BEE6D43" w14:textId="77777777" w:rsidR="006D2A57" w:rsidRDefault="006D2A57" w:rsidP="006D2A57">
      <w:pPr>
        <w:rPr>
          <w:b/>
          <w:color w:val="000000"/>
          <w:szCs w:val="24"/>
          <w:lang w:eastAsia="en-US"/>
        </w:rPr>
      </w:pPr>
    </w:p>
    <w:p w14:paraId="37C081BC" w14:textId="5E9CC309" w:rsidR="006D2A57" w:rsidRPr="0029750F" w:rsidRDefault="006D2A57" w:rsidP="006D2A57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6D2A57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</w:t>
      </w:r>
      <w:r>
        <w:rPr>
          <w:i/>
        </w:rPr>
        <w:t>2441</w:t>
      </w:r>
      <w:r w:rsidRPr="0050178C">
        <w:rPr>
          <w:i/>
        </w:rPr>
        <w:t>.)</w:t>
      </w:r>
    </w:p>
    <w:p w14:paraId="05D9BAF9" w14:textId="77777777" w:rsidR="006D2A57" w:rsidRPr="00E44A9F" w:rsidRDefault="006D2A57" w:rsidP="006D2A57">
      <w:pPr>
        <w:rPr>
          <w:rFonts w:eastAsia="Calibri"/>
          <w:b/>
          <w:szCs w:val="22"/>
        </w:rPr>
      </w:pPr>
    </w:p>
    <w:sectPr w:rsidR="006D2A57" w:rsidRPr="00E44A9F" w:rsidSect="00933A7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7AF79" w14:textId="77777777" w:rsidR="00102E08" w:rsidRPr="00933A79" w:rsidRDefault="00102E08">
      <w:r w:rsidRPr="00933A79">
        <w:separator/>
      </w:r>
    </w:p>
  </w:endnote>
  <w:endnote w:type="continuationSeparator" w:id="0">
    <w:p w14:paraId="7CB28EFD" w14:textId="77777777" w:rsidR="00102E08" w:rsidRPr="00933A79" w:rsidRDefault="00102E08">
      <w:r w:rsidRPr="00933A7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4C7FD" w14:textId="77777777" w:rsidR="00064002" w:rsidRPr="00933A7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A40AD" w14:textId="77777777" w:rsidR="00064002" w:rsidRPr="00933A7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FCA1F" w14:textId="77777777" w:rsidR="00064002" w:rsidRPr="00933A7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70CEBB" w14:textId="77777777" w:rsidR="00102E08" w:rsidRPr="00933A79" w:rsidRDefault="00102E08">
      <w:r w:rsidRPr="00933A79">
        <w:separator/>
      </w:r>
    </w:p>
  </w:footnote>
  <w:footnote w:type="continuationSeparator" w:id="0">
    <w:p w14:paraId="57BA6D28" w14:textId="77777777" w:rsidR="00102E08" w:rsidRPr="00933A79" w:rsidRDefault="00102E08">
      <w:r w:rsidRPr="00933A7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F0468" w14:textId="77777777" w:rsidR="00064002" w:rsidRPr="00933A7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851A" w14:textId="77777777" w:rsidR="00064002" w:rsidRPr="00933A7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4EB82" w14:textId="77777777" w:rsidR="00064002" w:rsidRPr="00933A7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420053">
    <w:abstractNumId w:val="9"/>
  </w:num>
  <w:num w:numId="2" w16cid:durableId="1301306490">
    <w:abstractNumId w:val="9"/>
  </w:num>
  <w:num w:numId="3" w16cid:durableId="585192408">
    <w:abstractNumId w:val="7"/>
  </w:num>
  <w:num w:numId="4" w16cid:durableId="1297880208">
    <w:abstractNumId w:val="7"/>
  </w:num>
  <w:num w:numId="5" w16cid:durableId="1608809596">
    <w:abstractNumId w:val="6"/>
  </w:num>
  <w:num w:numId="6" w16cid:durableId="802694454">
    <w:abstractNumId w:val="6"/>
  </w:num>
  <w:num w:numId="7" w16cid:durableId="661785171">
    <w:abstractNumId w:val="5"/>
  </w:num>
  <w:num w:numId="8" w16cid:durableId="55705732">
    <w:abstractNumId w:val="5"/>
  </w:num>
  <w:num w:numId="9" w16cid:durableId="423187448">
    <w:abstractNumId w:val="4"/>
  </w:num>
  <w:num w:numId="10" w16cid:durableId="385685056">
    <w:abstractNumId w:val="4"/>
  </w:num>
  <w:num w:numId="11" w16cid:durableId="1727988648">
    <w:abstractNumId w:val="8"/>
  </w:num>
  <w:num w:numId="12" w16cid:durableId="1623344972">
    <w:abstractNumId w:val="8"/>
  </w:num>
  <w:num w:numId="13" w16cid:durableId="1857185692">
    <w:abstractNumId w:val="3"/>
  </w:num>
  <w:num w:numId="14" w16cid:durableId="1838113041">
    <w:abstractNumId w:val="3"/>
  </w:num>
  <w:num w:numId="15" w16cid:durableId="1279095611">
    <w:abstractNumId w:val="2"/>
  </w:num>
  <w:num w:numId="16" w16cid:durableId="2106150276">
    <w:abstractNumId w:val="2"/>
  </w:num>
  <w:num w:numId="17" w16cid:durableId="961813795">
    <w:abstractNumId w:val="1"/>
  </w:num>
  <w:num w:numId="18" w16cid:durableId="1911769712">
    <w:abstractNumId w:val="1"/>
  </w:num>
  <w:num w:numId="19" w16cid:durableId="1516267289">
    <w:abstractNumId w:val="0"/>
  </w:num>
  <w:num w:numId="20" w16cid:durableId="1997493233">
    <w:abstractNumId w:val="0"/>
  </w:num>
  <w:num w:numId="21" w16cid:durableId="1385135838">
    <w:abstractNumId w:val="9"/>
  </w:num>
  <w:num w:numId="22" w16cid:durableId="1218979715">
    <w:abstractNumId w:val="7"/>
  </w:num>
  <w:num w:numId="23" w16cid:durableId="430203594">
    <w:abstractNumId w:val="6"/>
  </w:num>
  <w:num w:numId="24" w16cid:durableId="767820145">
    <w:abstractNumId w:val="5"/>
  </w:num>
  <w:num w:numId="25" w16cid:durableId="1333100219">
    <w:abstractNumId w:val="4"/>
  </w:num>
  <w:num w:numId="26" w16cid:durableId="1764187083">
    <w:abstractNumId w:val="8"/>
  </w:num>
  <w:num w:numId="27" w16cid:durableId="284703858">
    <w:abstractNumId w:val="3"/>
  </w:num>
  <w:num w:numId="28" w16cid:durableId="1367634577">
    <w:abstractNumId w:val="2"/>
  </w:num>
  <w:num w:numId="29" w16cid:durableId="479427007">
    <w:abstractNumId w:val="1"/>
  </w:num>
  <w:num w:numId="30" w16cid:durableId="1357923723">
    <w:abstractNumId w:val="0"/>
  </w:num>
  <w:num w:numId="31" w16cid:durableId="388772804">
    <w:abstractNumId w:val="9"/>
  </w:num>
  <w:num w:numId="32" w16cid:durableId="1420906449">
    <w:abstractNumId w:val="7"/>
  </w:num>
  <w:num w:numId="33" w16cid:durableId="1971472649">
    <w:abstractNumId w:val="6"/>
  </w:num>
  <w:num w:numId="34" w16cid:durableId="881599889">
    <w:abstractNumId w:val="5"/>
  </w:num>
  <w:num w:numId="35" w16cid:durableId="330766857">
    <w:abstractNumId w:val="4"/>
  </w:num>
  <w:num w:numId="36" w16cid:durableId="1530678231">
    <w:abstractNumId w:val="8"/>
  </w:num>
  <w:num w:numId="37" w16cid:durableId="1897620886">
    <w:abstractNumId w:val="3"/>
  </w:num>
  <w:num w:numId="38" w16cid:durableId="1037196275">
    <w:abstractNumId w:val="2"/>
  </w:num>
  <w:num w:numId="39" w16cid:durableId="1102381398">
    <w:abstractNumId w:val="1"/>
  </w:num>
  <w:num w:numId="40" w16cid:durableId="712852489">
    <w:abstractNumId w:val="0"/>
  </w:num>
  <w:num w:numId="41" w16cid:durableId="347223828">
    <w:abstractNumId w:val="10"/>
  </w:num>
  <w:num w:numId="42" w16cid:durableId="1442602667">
    <w:abstractNumId w:val="10"/>
  </w:num>
  <w:num w:numId="43" w16cid:durableId="664864232">
    <w:abstractNumId w:val="10"/>
  </w:num>
  <w:num w:numId="44" w16cid:durableId="3469495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MT"/>
    <w:docVar w:name="dvnumam" w:val="0"/>
    <w:docVar w:name="dvpe" w:val="770.058"/>
    <w:docVar w:name="dvrapporteur" w:val="Rapporteur: "/>
    <w:docVar w:name="dvstar" w:val="***I"/>
    <w:docVar w:name="dvtitre" w:val="Riżoluzzjoni leġiżlattiva tal-Parlament Ewropew tal-xx ta' Ottubru 2025 dwar il-proposta għal regolament tal-Parlament Ewropew u tal-Kunsill li jemenda r-Regolament (UE) 2018/1806 fir-rigward tar-reviżjoni tal-mekkaniżmu ta’ sospensjoni(COM(2023)0642 – C9-0392/2023 – 2023/0371(COD))"/>
  </w:docVars>
  <w:rsids>
    <w:rsidRoot w:val="00102E08"/>
    <w:rsid w:val="00002272"/>
    <w:rsid w:val="00064002"/>
    <w:rsid w:val="000677B9"/>
    <w:rsid w:val="000831BA"/>
    <w:rsid w:val="000A42CC"/>
    <w:rsid w:val="000E7DD9"/>
    <w:rsid w:val="0010095E"/>
    <w:rsid w:val="00102E08"/>
    <w:rsid w:val="00125B37"/>
    <w:rsid w:val="001827B0"/>
    <w:rsid w:val="00187494"/>
    <w:rsid w:val="001F32AE"/>
    <w:rsid w:val="00243273"/>
    <w:rsid w:val="002767FF"/>
    <w:rsid w:val="002B18FE"/>
    <w:rsid w:val="002B5493"/>
    <w:rsid w:val="002B715E"/>
    <w:rsid w:val="002E06C2"/>
    <w:rsid w:val="00343214"/>
    <w:rsid w:val="003516B4"/>
    <w:rsid w:val="00361C00"/>
    <w:rsid w:val="00395FA1"/>
    <w:rsid w:val="003E15D4"/>
    <w:rsid w:val="00411CCE"/>
    <w:rsid w:val="0041666E"/>
    <w:rsid w:val="00421060"/>
    <w:rsid w:val="00471C19"/>
    <w:rsid w:val="004765D5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2A38"/>
    <w:rsid w:val="006D2A57"/>
    <w:rsid w:val="006D5E71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7DFB"/>
    <w:rsid w:val="00817416"/>
    <w:rsid w:val="00842779"/>
    <w:rsid w:val="00865F67"/>
    <w:rsid w:val="00881A7B"/>
    <w:rsid w:val="008840E5"/>
    <w:rsid w:val="00887B3E"/>
    <w:rsid w:val="008B712E"/>
    <w:rsid w:val="008C2AC6"/>
    <w:rsid w:val="008D75E7"/>
    <w:rsid w:val="00923A1F"/>
    <w:rsid w:val="00930C23"/>
    <w:rsid w:val="0093193B"/>
    <w:rsid w:val="00933A7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1C57"/>
    <w:rsid w:val="00BC103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1A55"/>
    <w:rsid w:val="00D56C11"/>
    <w:rsid w:val="00D834A0"/>
    <w:rsid w:val="00D872DF"/>
    <w:rsid w:val="00D91E21"/>
    <w:rsid w:val="00DA7FCD"/>
    <w:rsid w:val="00E25DB5"/>
    <w:rsid w:val="00E365E1"/>
    <w:rsid w:val="00E44A9F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6B43A"/>
  <w15:chartTrackingRefBased/>
  <w15:docId w15:val="{E0B34272-6D42-4160-AABF-BC43EA531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BC103B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BC103B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BC103B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BC103B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BC103B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BC103B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BC103B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BC103B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BC103B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nhideWhenUsed/>
    <w:qFormat/>
    <w:rsid w:val="00BC103B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BC103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BC103B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BC103B"/>
    <w:pPr>
      <w:spacing w:after="120"/>
    </w:pPr>
  </w:style>
  <w:style w:type="paragraph" w:customStyle="1" w:styleId="PageHeading">
    <w:name w:val="PageHeading"/>
    <w:basedOn w:val="Normal"/>
    <w:rsid w:val="00BC103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BC103B"/>
    <w:rPr>
      <w:b/>
    </w:rPr>
  </w:style>
  <w:style w:type="paragraph" w:customStyle="1" w:styleId="NormalBold12a">
    <w:name w:val="NormalBold12a"/>
    <w:basedOn w:val="Normal"/>
    <w:rsid w:val="00BC103B"/>
    <w:pPr>
      <w:spacing w:after="240"/>
    </w:pPr>
    <w:rPr>
      <w:b/>
    </w:rPr>
  </w:style>
  <w:style w:type="paragraph" w:customStyle="1" w:styleId="AmJustText">
    <w:name w:val="AmJustText"/>
    <w:basedOn w:val="Normal"/>
    <w:rsid w:val="00BC103B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BC103B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BC103B"/>
    <w:pPr>
      <w:spacing w:after="480"/>
      <w:ind w:left="1417"/>
    </w:pPr>
  </w:style>
  <w:style w:type="paragraph" w:customStyle="1" w:styleId="CoverNormal">
    <w:name w:val="CoverNormal"/>
    <w:basedOn w:val="Normal"/>
    <w:rsid w:val="00BC103B"/>
    <w:pPr>
      <w:ind w:left="1418"/>
    </w:pPr>
  </w:style>
  <w:style w:type="paragraph" w:customStyle="1" w:styleId="AmCrossRef">
    <w:name w:val="AmCrossRef"/>
    <w:basedOn w:val="Normal"/>
    <w:rsid w:val="00BC103B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BC103B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BC103B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BC103B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C103B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BC103B"/>
    <w:pPr>
      <w:spacing w:before="240" w:after="1200"/>
    </w:pPr>
  </w:style>
  <w:style w:type="paragraph" w:styleId="Header">
    <w:name w:val="header"/>
    <w:basedOn w:val="Normal"/>
    <w:link w:val="HeaderChar"/>
    <w:rsid w:val="00BC103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BC103B"/>
    <w:rPr>
      <w:sz w:val="24"/>
      <w:lang w:val="mt-MT"/>
    </w:rPr>
  </w:style>
  <w:style w:type="paragraph" w:customStyle="1" w:styleId="AmOrLang">
    <w:name w:val="AmOrLang"/>
    <w:basedOn w:val="Normal"/>
    <w:rsid w:val="00BC103B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BC103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BC103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BC103B"/>
    <w:pPr>
      <w:spacing w:before="240"/>
    </w:pPr>
    <w:rPr>
      <w:b/>
    </w:rPr>
  </w:style>
  <w:style w:type="paragraph" w:customStyle="1" w:styleId="EPBody">
    <w:name w:val="EPBody"/>
    <w:basedOn w:val="Normal"/>
    <w:rsid w:val="00BC103B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BC103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BC103B"/>
    <w:pPr>
      <w:spacing w:before="480" w:after="240"/>
    </w:pPr>
  </w:style>
  <w:style w:type="paragraph" w:customStyle="1" w:styleId="Lgendesigne">
    <w:name w:val="Légende signe"/>
    <w:basedOn w:val="Normal"/>
    <w:rsid w:val="00BC103B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BC103B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BC103B"/>
    <w:pPr>
      <w:ind w:left="0" w:firstLine="0"/>
    </w:pPr>
  </w:style>
  <w:style w:type="character" w:customStyle="1" w:styleId="AmNumberTabsChar">
    <w:name w:val="AmNumberTabs Char"/>
    <w:basedOn w:val="DefaultParagraphFont"/>
    <w:link w:val="AmNumberTabs"/>
    <w:rsid w:val="00BC103B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BC103B"/>
    <w:rPr>
      <w:b/>
      <w:sz w:val="24"/>
      <w:lang w:val="mt-MT"/>
    </w:rPr>
  </w:style>
  <w:style w:type="paragraph" w:styleId="BalloonText">
    <w:name w:val="Balloon Text"/>
    <w:basedOn w:val="Normal"/>
    <w:link w:val="BalloonTextChar"/>
    <w:unhideWhenUsed/>
    <w:rsid w:val="00BC103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C103B"/>
    <w:rPr>
      <w:rFonts w:ascii="Segoe UI" w:hAnsi="Segoe UI" w:cs="Segoe UI"/>
      <w:sz w:val="18"/>
      <w:szCs w:val="18"/>
      <w:lang w:val="mt-MT"/>
    </w:rPr>
  </w:style>
  <w:style w:type="paragraph" w:customStyle="1" w:styleId="Normal6">
    <w:name w:val="Normal6"/>
    <w:basedOn w:val="Normal"/>
    <w:link w:val="Normal6Char"/>
    <w:rsid w:val="00BC103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BC103B"/>
    <w:rPr>
      <w:sz w:val="24"/>
      <w:lang w:val="mt-MT"/>
    </w:rPr>
  </w:style>
  <w:style w:type="paragraph" w:styleId="Footer">
    <w:name w:val="footer"/>
    <w:basedOn w:val="Normal"/>
    <w:link w:val="FooterChar"/>
    <w:rsid w:val="00BC103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C103B"/>
    <w:rPr>
      <w:sz w:val="24"/>
      <w:lang w:val="mt-MT"/>
    </w:rPr>
  </w:style>
  <w:style w:type="paragraph" w:customStyle="1" w:styleId="Normal24a">
    <w:name w:val="Normal24a"/>
    <w:basedOn w:val="Normal"/>
    <w:rsid w:val="00BC103B"/>
    <w:pPr>
      <w:spacing w:after="480"/>
    </w:pPr>
  </w:style>
  <w:style w:type="paragraph" w:customStyle="1" w:styleId="NormalBoldCenter">
    <w:name w:val="NormalBoldCenter"/>
    <w:basedOn w:val="Normal"/>
    <w:rsid w:val="00BC103B"/>
    <w:pPr>
      <w:jc w:val="center"/>
    </w:pPr>
    <w:rPr>
      <w:b/>
    </w:rPr>
  </w:style>
  <w:style w:type="paragraph" w:customStyle="1" w:styleId="Footprint12b">
    <w:name w:val="Footprint12b"/>
    <w:basedOn w:val="Normal"/>
    <w:rsid w:val="00BC103B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BC103B"/>
    <w:rPr>
      <w:szCs w:val="24"/>
    </w:rPr>
  </w:style>
  <w:style w:type="paragraph" w:styleId="NormalWeb">
    <w:name w:val="Normal (Web)"/>
    <w:basedOn w:val="Normal"/>
    <w:uiPriority w:val="99"/>
    <w:unhideWhenUsed/>
    <w:rsid w:val="00BC103B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BC103B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BC103B"/>
    <w:pPr>
      <w:spacing w:after="240"/>
    </w:pPr>
  </w:style>
  <w:style w:type="paragraph" w:customStyle="1" w:styleId="RollCallVotes">
    <w:name w:val="RollCallVotes"/>
    <w:basedOn w:val="Normal"/>
    <w:rsid w:val="00BC103B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BC103B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BC103B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BC103B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BC103B"/>
    <w:rPr>
      <w:sz w:val="16"/>
      <w:szCs w:val="16"/>
    </w:rPr>
  </w:style>
  <w:style w:type="paragraph" w:styleId="CommentText">
    <w:name w:val="annotation text"/>
    <w:basedOn w:val="Normal"/>
    <w:link w:val="CommentTextChar"/>
    <w:rsid w:val="00BC103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C103B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BC10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C103B"/>
    <w:rPr>
      <w:b/>
      <w:bCs/>
      <w:lang w:val="mt-MT"/>
    </w:rPr>
  </w:style>
  <w:style w:type="paragraph" w:styleId="Revision">
    <w:name w:val="Revision"/>
    <w:hidden/>
    <w:uiPriority w:val="99"/>
    <w:semiHidden/>
    <w:rsid w:val="00BC103B"/>
    <w:rPr>
      <w:sz w:val="24"/>
      <w:lang w:val="mt-MT"/>
    </w:rPr>
  </w:style>
  <w:style w:type="paragraph" w:customStyle="1" w:styleId="FootnoteTextForceStyle">
    <w:name w:val="Footnote Text ForceStyle"/>
    <w:rsid w:val="00E44A9F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paragraph" w:customStyle="1" w:styleId="Institutionquiagit">
    <w:name w:val="Institution qui agit"/>
    <w:basedOn w:val="Normal"/>
    <w:next w:val="Normal"/>
    <w:rsid w:val="006D2A57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241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ZAHRA Ritienne</cp:lastModifiedBy>
  <cp:revision>2</cp:revision>
  <cp:lastPrinted>2004-11-19T15:42:00Z</cp:lastPrinted>
  <dcterms:created xsi:type="dcterms:W3CDTF">2025-12-16T15:19:00Z</dcterms:created>
  <dcterms:modified xsi:type="dcterms:W3CDTF">2025-12-16T15:19:00Z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