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6398" w14:paraId="1E6F329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1CEC79" w14:textId="77777777" w:rsidR="00751A4A" w:rsidRPr="00E96398" w:rsidRDefault="00131435" w:rsidP="0010095E">
            <w:pPr>
              <w:pStyle w:val="EPName"/>
            </w:pPr>
            <w:r w:rsidRPr="00E96398">
              <w:t>Europaparlamentet</w:t>
            </w:r>
          </w:p>
          <w:p w14:paraId="59A8DC5C" w14:textId="77777777" w:rsidR="00751A4A" w:rsidRPr="00E963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6398">
              <w:t>2024</w:t>
            </w:r>
            <w:r w:rsidR="00817416" w:rsidRPr="00E96398">
              <w:t>-202</w:t>
            </w:r>
            <w:r w:rsidRPr="00E96398">
              <w:t>9</w:t>
            </w:r>
          </w:p>
        </w:tc>
        <w:tc>
          <w:tcPr>
            <w:tcW w:w="2268" w:type="dxa"/>
            <w:shd w:val="clear" w:color="auto" w:fill="auto"/>
          </w:tcPr>
          <w:p w14:paraId="3E1A9FBF" w14:textId="77777777" w:rsidR="00751A4A" w:rsidRPr="00E96398" w:rsidRDefault="00187494" w:rsidP="0010095E">
            <w:pPr>
              <w:pStyle w:val="EPLogo"/>
            </w:pPr>
            <w:r w:rsidRPr="00E96398">
              <w:rPr>
                <w:noProof/>
                <w:lang w:eastAsia="ja-JP"/>
              </w:rPr>
              <w:drawing>
                <wp:inline distT="0" distB="0" distL="0" distR="0" wp14:anchorId="40E57908" wp14:editId="3E60F6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37F6D" w14:textId="77777777" w:rsidR="00D058B8" w:rsidRPr="00E96398" w:rsidRDefault="00D058B8" w:rsidP="004C5D52">
      <w:pPr>
        <w:pStyle w:val="LineTop"/>
      </w:pPr>
    </w:p>
    <w:p w14:paraId="5A6C4C84" w14:textId="77777777" w:rsidR="00680577" w:rsidRPr="00E96398" w:rsidRDefault="00131435" w:rsidP="00680577">
      <w:pPr>
        <w:pStyle w:val="EPBodyTA1"/>
      </w:pPr>
      <w:r w:rsidRPr="00E96398">
        <w:t>ANTAGNA TEXTER</w:t>
      </w:r>
    </w:p>
    <w:p w14:paraId="07C04E94" w14:textId="77777777" w:rsidR="00D058B8" w:rsidRPr="00E96398" w:rsidRDefault="00D058B8" w:rsidP="00D058B8">
      <w:pPr>
        <w:pStyle w:val="LineBottom"/>
      </w:pPr>
    </w:p>
    <w:p w14:paraId="77934972" w14:textId="2ED7F403" w:rsidR="00131435" w:rsidRPr="00E96398" w:rsidRDefault="00131435" w:rsidP="00131435">
      <w:pPr>
        <w:pStyle w:val="ATHeading1"/>
      </w:pPr>
      <w:bookmarkStart w:id="0" w:name="TANumber"/>
      <w:r w:rsidRPr="00E96398">
        <w:t>P10_TA(2025)0</w:t>
      </w:r>
      <w:bookmarkEnd w:id="0"/>
      <w:r w:rsidR="008719A8">
        <w:t>209</w:t>
      </w:r>
    </w:p>
    <w:p w14:paraId="687597C4" w14:textId="77777777" w:rsidR="00131435" w:rsidRPr="00E96398" w:rsidRDefault="00131435" w:rsidP="00131435">
      <w:pPr>
        <w:pStyle w:val="ATHeading2"/>
      </w:pPr>
      <w:bookmarkStart w:id="1" w:name="title"/>
      <w:r w:rsidRPr="00E96398">
        <w:t>Översyn av upphävandemekanismen</w:t>
      </w:r>
      <w:bookmarkEnd w:id="1"/>
    </w:p>
    <w:p w14:paraId="024C3610" w14:textId="77777777" w:rsidR="00131435" w:rsidRPr="00E96398" w:rsidRDefault="00131435" w:rsidP="00131435">
      <w:pPr>
        <w:rPr>
          <w:i/>
          <w:vanish/>
        </w:rPr>
      </w:pPr>
      <w:r w:rsidRPr="00E96398">
        <w:rPr>
          <w:i/>
        </w:rPr>
        <w:fldChar w:fldCharType="begin"/>
      </w:r>
      <w:r w:rsidRPr="00E96398">
        <w:rPr>
          <w:i/>
        </w:rPr>
        <w:instrText xml:space="preserve"> TC"(</w:instrText>
      </w:r>
      <w:bookmarkStart w:id="2" w:name="DocNumber"/>
      <w:r w:rsidRPr="00E96398">
        <w:rPr>
          <w:i/>
        </w:rPr>
        <w:instrText>A10-0035/2025</w:instrText>
      </w:r>
      <w:bookmarkEnd w:id="2"/>
      <w:r w:rsidRPr="00E96398">
        <w:rPr>
          <w:i/>
        </w:rPr>
        <w:instrText xml:space="preserve"> - Föredragande: </w:instrText>
      </w:r>
      <w:proofErr w:type="spellStart"/>
      <w:r w:rsidRPr="00E96398">
        <w:rPr>
          <w:i/>
        </w:rPr>
        <w:instrText>Matjaž</w:instrText>
      </w:r>
      <w:proofErr w:type="spellEnd"/>
      <w:r w:rsidRPr="00E96398">
        <w:rPr>
          <w:i/>
        </w:rPr>
        <w:instrText xml:space="preserve"> </w:instrText>
      </w:r>
      <w:proofErr w:type="spellStart"/>
      <w:r w:rsidRPr="00E96398">
        <w:rPr>
          <w:i/>
        </w:rPr>
        <w:instrText>Nemec</w:instrText>
      </w:r>
      <w:proofErr w:type="spellEnd"/>
      <w:r w:rsidRPr="00E96398">
        <w:rPr>
          <w:i/>
        </w:rPr>
        <w:instrText xml:space="preserve">)"\l3 \n&gt; \* MERGEFORMAT </w:instrText>
      </w:r>
      <w:r w:rsidRPr="00E96398">
        <w:rPr>
          <w:i/>
        </w:rPr>
        <w:fldChar w:fldCharType="end"/>
      </w:r>
    </w:p>
    <w:p w14:paraId="40C2C0F4" w14:textId="77777777" w:rsidR="00131435" w:rsidRPr="00E96398" w:rsidRDefault="00131435" w:rsidP="00131435">
      <w:pPr>
        <w:rPr>
          <w:vanish/>
        </w:rPr>
      </w:pPr>
      <w:bookmarkStart w:id="3" w:name="Commission"/>
      <w:r w:rsidRPr="00E96398">
        <w:rPr>
          <w:vanish/>
        </w:rPr>
        <w:t>Utskottet för medborgerliga fri- och rättigheter samt rättsliga och inrikes frågor</w:t>
      </w:r>
      <w:bookmarkEnd w:id="3"/>
    </w:p>
    <w:p w14:paraId="0A7132E1" w14:textId="77777777" w:rsidR="00131435" w:rsidRPr="00E96398" w:rsidRDefault="00131435" w:rsidP="00131435">
      <w:pPr>
        <w:rPr>
          <w:vanish/>
        </w:rPr>
      </w:pPr>
      <w:bookmarkStart w:id="4" w:name="PE"/>
      <w:r w:rsidRPr="00E96398">
        <w:rPr>
          <w:vanish/>
        </w:rPr>
        <w:t>PE770.058</w:t>
      </w:r>
      <w:bookmarkEnd w:id="4"/>
    </w:p>
    <w:p w14:paraId="33B98AE0" w14:textId="5B064383" w:rsidR="00131435" w:rsidRPr="00E96398" w:rsidRDefault="00131435" w:rsidP="00131435">
      <w:pPr>
        <w:pStyle w:val="ATHeading3"/>
      </w:pPr>
      <w:bookmarkStart w:id="5" w:name="Sujet"/>
      <w:r w:rsidRPr="00E96398">
        <w:t xml:space="preserve">Europaparlamentets lagstiftningsresolution av </w:t>
      </w:r>
      <w:r w:rsidRPr="007F6393">
        <w:t xml:space="preserve">den </w:t>
      </w:r>
      <w:r w:rsidR="007F6393" w:rsidRPr="00C97E1C">
        <w:t>7</w:t>
      </w:r>
      <w:r w:rsidR="007F6393" w:rsidRPr="007F6393">
        <w:t xml:space="preserve"> oktober</w:t>
      </w:r>
      <w:r w:rsidR="007F6393" w:rsidRPr="00E96398">
        <w:t xml:space="preserve"> </w:t>
      </w:r>
      <w:r w:rsidRPr="00E96398">
        <w:t>2025 om förslaget till Europaparlamentets och rådets förordning om ändring av förordning (EU) 2018/1806 vad gäller översyn av upphävandemekanismen</w:t>
      </w:r>
      <w:bookmarkEnd w:id="5"/>
      <w:r w:rsidRPr="00E96398">
        <w:t xml:space="preserve"> </w:t>
      </w:r>
      <w:bookmarkStart w:id="6" w:name="References"/>
      <w:r w:rsidRPr="00E96398">
        <w:t>(COM(2023)0642 – C9-0392/2023 – 2023/0371(COD))</w:t>
      </w:r>
      <w:bookmarkEnd w:id="6"/>
    </w:p>
    <w:p w14:paraId="7507493C" w14:textId="77777777" w:rsidR="00984DA8" w:rsidRPr="00C97E1C" w:rsidRDefault="00984DA8" w:rsidP="00984DA8">
      <w:pPr>
        <w:pStyle w:val="NormalBold"/>
      </w:pPr>
      <w:r w:rsidRPr="00E96398">
        <w:t>(Ordina</w:t>
      </w:r>
      <w:r w:rsidRPr="00C97E1C">
        <w:t>rie lagstiftningsförfarande: första behandlingen)</w:t>
      </w:r>
    </w:p>
    <w:p w14:paraId="339180E7" w14:textId="77777777" w:rsidR="00984DA8" w:rsidRPr="00C97E1C" w:rsidRDefault="00984DA8" w:rsidP="00984DA8">
      <w:pPr>
        <w:pStyle w:val="EPComma"/>
      </w:pPr>
      <w:r w:rsidRPr="00C97E1C">
        <w:rPr>
          <w:i/>
          <w:iCs/>
        </w:rPr>
        <w:t>Europaparlamentet utfärdar denna resolution</w:t>
      </w:r>
    </w:p>
    <w:p w14:paraId="700AEC5E" w14:textId="77777777" w:rsidR="00984DA8" w:rsidRPr="00C97E1C" w:rsidRDefault="00984DA8" w:rsidP="00984DA8">
      <w:pPr>
        <w:pStyle w:val="NormalHanging12a"/>
      </w:pPr>
      <w:r w:rsidRPr="00C97E1C">
        <w:t>–</w:t>
      </w:r>
      <w:r w:rsidRPr="00C97E1C">
        <w:tab/>
        <w:t>med beaktande av kommissionens förslag till Europaparlamentet och rådet (COM(2023)0642),</w:t>
      </w:r>
    </w:p>
    <w:p w14:paraId="6E1AB2CE" w14:textId="77777777" w:rsidR="00984DA8" w:rsidRPr="00C97E1C" w:rsidRDefault="00984DA8" w:rsidP="00984DA8">
      <w:pPr>
        <w:pStyle w:val="NormalHanging12a"/>
      </w:pPr>
      <w:r w:rsidRPr="00C97E1C">
        <w:t>–</w:t>
      </w:r>
      <w:r w:rsidRPr="00C97E1C">
        <w:tab/>
        <w:t>med beaktande av artiklarna 294.2 och 77.2 a i fördraget om Europeiska unionens funktionssätt, i enlighet med vilka kommissionen har lagt fram sitt förslag för parlamentet (C9</w:t>
      </w:r>
      <w:r w:rsidRPr="00C97E1C">
        <w:noBreakHyphen/>
        <w:t>0392/2023),</w:t>
      </w:r>
    </w:p>
    <w:p w14:paraId="114A6EF7" w14:textId="77777777" w:rsidR="00984DA8" w:rsidRPr="00C97E1C" w:rsidRDefault="00984DA8" w:rsidP="00984DA8">
      <w:pPr>
        <w:pStyle w:val="NormalHanging12a"/>
      </w:pPr>
      <w:r w:rsidRPr="00C97E1C">
        <w:t>–</w:t>
      </w:r>
      <w:r w:rsidRPr="00C97E1C">
        <w:tab/>
        <w:t>med beaktande av artikel 294.3 i fördraget om Europeiska unionens funktionssätt,</w:t>
      </w:r>
    </w:p>
    <w:p w14:paraId="2B0481BE" w14:textId="028DD00E" w:rsidR="007F6393" w:rsidRPr="00C97E1C" w:rsidRDefault="007F6393" w:rsidP="00984DA8">
      <w:pPr>
        <w:pStyle w:val="NormalHanging12a"/>
      </w:pPr>
      <w:r w:rsidRPr="00C97E1C">
        <w:t>–</w:t>
      </w:r>
      <w:r w:rsidRPr="00C97E1C">
        <w:tab/>
        <w:t>med beaktande av den preliminära överenskommelse som godkänts av det ansvariga utskottet enligt artikel 75.4 i arbetsordningen och det skriftliga åtagandet från rådets företrädare av den 23 juni 2025 att godkänna parlamentets ståndpunkt i enlighet med artikel 294.4 i fördraget om Europeiska unionens funktionssätt,</w:t>
      </w:r>
    </w:p>
    <w:p w14:paraId="6F8FC362" w14:textId="77777777" w:rsidR="00984DA8" w:rsidRPr="00C97E1C" w:rsidRDefault="00984DA8" w:rsidP="00984DA8">
      <w:pPr>
        <w:pStyle w:val="NormalHanging12a"/>
      </w:pPr>
      <w:r w:rsidRPr="00C97E1C">
        <w:t>–</w:t>
      </w:r>
      <w:r w:rsidRPr="00C97E1C">
        <w:tab/>
        <w:t>med beaktande av artikel 60 i arbetsordningen,</w:t>
      </w:r>
    </w:p>
    <w:p w14:paraId="794775A4" w14:textId="77777777" w:rsidR="00984DA8" w:rsidRPr="00C97E1C" w:rsidRDefault="00984DA8" w:rsidP="00984DA8">
      <w:pPr>
        <w:pStyle w:val="NormalHanging12a"/>
      </w:pPr>
      <w:r w:rsidRPr="00C97E1C">
        <w:t>–</w:t>
      </w:r>
      <w:r w:rsidRPr="00C97E1C">
        <w:tab/>
        <w:t>med beaktande av betänkandet från utskottet för medborgerliga fri- och rättigheter samt rättsliga och inrikes frågor (A10-0035/2025).</w:t>
      </w:r>
    </w:p>
    <w:p w14:paraId="45791C46" w14:textId="77777777" w:rsidR="00984DA8" w:rsidRPr="00C97E1C" w:rsidRDefault="00984DA8" w:rsidP="00984DA8">
      <w:pPr>
        <w:pStyle w:val="NormalHanging12a"/>
      </w:pPr>
      <w:r w:rsidRPr="00C97E1C">
        <w:t>1.</w:t>
      </w:r>
      <w:r w:rsidRPr="00C97E1C">
        <w:tab/>
        <w:t>Europaparlamentet antar nedanstående ståndpunkt vid första behandlingen.</w:t>
      </w:r>
    </w:p>
    <w:p w14:paraId="523E8178" w14:textId="77777777" w:rsidR="00984DA8" w:rsidRPr="00C97E1C" w:rsidRDefault="00984DA8" w:rsidP="00984DA8">
      <w:pPr>
        <w:pStyle w:val="NormalHanging12a"/>
      </w:pPr>
      <w:r w:rsidRPr="00C97E1C">
        <w:t>2.</w:t>
      </w:r>
      <w:r w:rsidRPr="00C97E1C">
        <w:tab/>
        <w:t>Europaparlamentet uppmanar kommissionen att på nytt lägga fram ärendet för parlamentet om den ersätter, väsentligt ändrar eller har för avsikt att väsentligt ändra sitt förslag.</w:t>
      </w:r>
    </w:p>
    <w:p w14:paraId="42F9C2D8" w14:textId="77777777" w:rsidR="00984DA8" w:rsidRPr="00C97E1C" w:rsidRDefault="00984DA8" w:rsidP="00984DA8">
      <w:pPr>
        <w:pStyle w:val="NormalHanging12a"/>
      </w:pPr>
      <w:r w:rsidRPr="00C97E1C">
        <w:t>3.</w:t>
      </w:r>
      <w:r w:rsidRPr="00C97E1C">
        <w:tab/>
        <w:t xml:space="preserve">Europaparlamentet uppdrar åt talmannen att översända parlamentets ståndpunkt till </w:t>
      </w:r>
      <w:r w:rsidRPr="00C97E1C">
        <w:lastRenderedPageBreak/>
        <w:t>rådet, kommissionen och de nationella parlamenten.</w:t>
      </w:r>
    </w:p>
    <w:p w14:paraId="53492010" w14:textId="77777777" w:rsidR="00066111" w:rsidRPr="00C97E1C" w:rsidRDefault="00066111" w:rsidP="00984DA8">
      <w:pPr>
        <w:sectPr w:rsidR="00066111" w:rsidRPr="00C97E1C" w:rsidSect="00E963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F5F567" w14:textId="19A999EC" w:rsidR="002C5A3C" w:rsidRPr="00C97E1C" w:rsidRDefault="002C5A3C" w:rsidP="002C5A3C">
      <w:pPr>
        <w:widowControl/>
        <w:spacing w:after="240"/>
        <w:rPr>
          <w:b/>
          <w:snapToGrid w:val="0"/>
        </w:rPr>
      </w:pPr>
      <w:r w:rsidRPr="00C97E1C">
        <w:rPr>
          <w:b/>
          <w:snapToGrid w:val="0"/>
        </w:rPr>
        <w:lastRenderedPageBreak/>
        <w:t>P10_TC1-COD(2023)0371</w:t>
      </w:r>
    </w:p>
    <w:p w14:paraId="6B6AF71A" w14:textId="47F34767" w:rsidR="002C5A3C" w:rsidRDefault="002C5A3C" w:rsidP="00C97E1C">
      <w:pPr>
        <w:widowControl/>
        <w:spacing w:before="120" w:after="120"/>
        <w:rPr>
          <w:b/>
          <w:bCs/>
          <w:szCs w:val="24"/>
          <w:lang w:eastAsia="en-US"/>
        </w:rPr>
      </w:pPr>
      <w:r w:rsidRPr="00C97E1C">
        <w:rPr>
          <w:b/>
          <w:bCs/>
          <w:szCs w:val="24"/>
        </w:rPr>
        <w:t xml:space="preserve">Europaparlamentets ståndpunkt fastställd vid första behandlingen den 7 oktober 2025 inför antagandet av Europaparlamentets och rådets förordning (EU) 2025/… </w:t>
      </w:r>
      <w:r w:rsidRPr="00C97E1C">
        <w:rPr>
          <w:b/>
          <w:bCs/>
          <w:szCs w:val="24"/>
          <w:lang w:eastAsia="en-US"/>
        </w:rPr>
        <w:t>om ändring av förordning (EU) 2018/1806 vad gäller översyn av upphävandemekanismen</w:t>
      </w:r>
    </w:p>
    <w:p w14:paraId="45ABF57B" w14:textId="52D2167B" w:rsidR="00431170" w:rsidRPr="00431170" w:rsidRDefault="00431170" w:rsidP="00431170">
      <w:pPr>
        <w:widowControl/>
        <w:spacing w:before="120" w:after="120"/>
        <w:rPr>
          <w:szCs w:val="24"/>
        </w:rPr>
      </w:pPr>
      <w:r w:rsidRPr="00431170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431170">
        <w:rPr>
          <w:i/>
          <w:szCs w:val="24"/>
          <w:lang w:eastAsia="en-US"/>
        </w:rPr>
        <w:t>5</w:t>
      </w:r>
      <w:r w:rsidRPr="00431170">
        <w:rPr>
          <w:i/>
          <w:szCs w:val="24"/>
          <w:lang w:eastAsia="en-US"/>
        </w:rPr>
        <w:t>/</w:t>
      </w:r>
      <w:r w:rsidRPr="00431170">
        <w:rPr>
          <w:i/>
          <w:szCs w:val="24"/>
          <w:lang w:eastAsia="en-US"/>
        </w:rPr>
        <w:t>2441</w:t>
      </w:r>
      <w:r w:rsidRPr="00431170">
        <w:rPr>
          <w:i/>
          <w:szCs w:val="24"/>
          <w:lang w:eastAsia="en-US"/>
        </w:rPr>
        <w:t>.)</w:t>
      </w:r>
    </w:p>
    <w:p w14:paraId="70F54A32" w14:textId="77777777" w:rsidR="00431170" w:rsidRPr="00431170" w:rsidRDefault="00431170" w:rsidP="00431170">
      <w:pPr>
        <w:widowControl/>
        <w:jc w:val="both"/>
        <w:rPr>
          <w:szCs w:val="24"/>
        </w:rPr>
      </w:pPr>
    </w:p>
    <w:p w14:paraId="519B161B" w14:textId="77777777" w:rsidR="00431170" w:rsidRPr="00C97E1C" w:rsidRDefault="00431170" w:rsidP="00C97E1C">
      <w:pPr>
        <w:widowControl/>
        <w:spacing w:before="120" w:after="120"/>
        <w:rPr>
          <w:b/>
          <w:bCs/>
          <w:szCs w:val="24"/>
          <w:lang w:eastAsia="en-US"/>
        </w:rPr>
      </w:pPr>
    </w:p>
    <w:sectPr w:rsidR="00431170" w:rsidRPr="00C97E1C" w:rsidSect="00E963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9CCBC" w14:textId="77777777" w:rsidR="00131435" w:rsidRPr="00E96398" w:rsidRDefault="00131435">
      <w:r w:rsidRPr="00E96398">
        <w:separator/>
      </w:r>
    </w:p>
  </w:endnote>
  <w:endnote w:type="continuationSeparator" w:id="0">
    <w:p w14:paraId="787E5FDE" w14:textId="77777777" w:rsidR="00131435" w:rsidRPr="00E96398" w:rsidRDefault="00131435">
      <w:r w:rsidRPr="00E963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2491C" w14:textId="77777777" w:rsidR="00064002" w:rsidRPr="00E963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DD185" w14:textId="77777777" w:rsidR="00064002" w:rsidRPr="00E963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900E" w14:textId="77777777" w:rsidR="00064002" w:rsidRPr="00E963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7E33D" w14:textId="77777777" w:rsidR="00131435" w:rsidRPr="00E96398" w:rsidRDefault="00131435">
      <w:r w:rsidRPr="00E96398">
        <w:separator/>
      </w:r>
    </w:p>
  </w:footnote>
  <w:footnote w:type="continuationSeparator" w:id="0">
    <w:p w14:paraId="325C6349" w14:textId="77777777" w:rsidR="00131435" w:rsidRPr="00E96398" w:rsidRDefault="00131435">
      <w:r w:rsidRPr="00E963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72842" w14:textId="77777777" w:rsidR="00064002" w:rsidRPr="00E963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C8241" w14:textId="77777777" w:rsidR="00064002" w:rsidRPr="00E963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F4B1" w14:textId="77777777" w:rsidR="00064002" w:rsidRPr="00E963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3725961">
    <w:abstractNumId w:val="9"/>
  </w:num>
  <w:num w:numId="2" w16cid:durableId="469707291">
    <w:abstractNumId w:val="9"/>
  </w:num>
  <w:num w:numId="3" w16cid:durableId="936258101">
    <w:abstractNumId w:val="7"/>
  </w:num>
  <w:num w:numId="4" w16cid:durableId="1808080941">
    <w:abstractNumId w:val="7"/>
  </w:num>
  <w:num w:numId="5" w16cid:durableId="520900564">
    <w:abstractNumId w:val="6"/>
  </w:num>
  <w:num w:numId="6" w16cid:durableId="1387296424">
    <w:abstractNumId w:val="6"/>
  </w:num>
  <w:num w:numId="7" w16cid:durableId="1057314304">
    <w:abstractNumId w:val="5"/>
  </w:num>
  <w:num w:numId="8" w16cid:durableId="1063256573">
    <w:abstractNumId w:val="5"/>
  </w:num>
  <w:num w:numId="9" w16cid:durableId="232744706">
    <w:abstractNumId w:val="4"/>
  </w:num>
  <w:num w:numId="10" w16cid:durableId="835220812">
    <w:abstractNumId w:val="4"/>
  </w:num>
  <w:num w:numId="11" w16cid:durableId="1534004284">
    <w:abstractNumId w:val="8"/>
  </w:num>
  <w:num w:numId="12" w16cid:durableId="1377654844">
    <w:abstractNumId w:val="8"/>
  </w:num>
  <w:num w:numId="13" w16cid:durableId="1722636016">
    <w:abstractNumId w:val="3"/>
  </w:num>
  <w:num w:numId="14" w16cid:durableId="593321452">
    <w:abstractNumId w:val="3"/>
  </w:num>
  <w:num w:numId="15" w16cid:durableId="1569264690">
    <w:abstractNumId w:val="2"/>
  </w:num>
  <w:num w:numId="16" w16cid:durableId="1682971018">
    <w:abstractNumId w:val="2"/>
  </w:num>
  <w:num w:numId="17" w16cid:durableId="814178470">
    <w:abstractNumId w:val="1"/>
  </w:num>
  <w:num w:numId="18" w16cid:durableId="390662683">
    <w:abstractNumId w:val="1"/>
  </w:num>
  <w:num w:numId="19" w16cid:durableId="673415009">
    <w:abstractNumId w:val="0"/>
  </w:num>
  <w:num w:numId="20" w16cid:durableId="1339111640">
    <w:abstractNumId w:val="0"/>
  </w:num>
  <w:num w:numId="21" w16cid:durableId="913005441">
    <w:abstractNumId w:val="9"/>
  </w:num>
  <w:num w:numId="22" w16cid:durableId="1501579602">
    <w:abstractNumId w:val="7"/>
  </w:num>
  <w:num w:numId="23" w16cid:durableId="880097312">
    <w:abstractNumId w:val="6"/>
  </w:num>
  <w:num w:numId="24" w16cid:durableId="1637831772">
    <w:abstractNumId w:val="5"/>
  </w:num>
  <w:num w:numId="25" w16cid:durableId="369956505">
    <w:abstractNumId w:val="4"/>
  </w:num>
  <w:num w:numId="26" w16cid:durableId="1675958656">
    <w:abstractNumId w:val="8"/>
  </w:num>
  <w:num w:numId="27" w16cid:durableId="941958853">
    <w:abstractNumId w:val="3"/>
  </w:num>
  <w:num w:numId="28" w16cid:durableId="2058048248">
    <w:abstractNumId w:val="2"/>
  </w:num>
  <w:num w:numId="29" w16cid:durableId="1294751308">
    <w:abstractNumId w:val="1"/>
  </w:num>
  <w:num w:numId="30" w16cid:durableId="1398477410">
    <w:abstractNumId w:val="0"/>
  </w:num>
  <w:num w:numId="31" w16cid:durableId="1219439433">
    <w:abstractNumId w:val="9"/>
  </w:num>
  <w:num w:numId="32" w16cid:durableId="431434655">
    <w:abstractNumId w:val="7"/>
  </w:num>
  <w:num w:numId="33" w16cid:durableId="1816410503">
    <w:abstractNumId w:val="6"/>
  </w:num>
  <w:num w:numId="34" w16cid:durableId="754864546">
    <w:abstractNumId w:val="5"/>
  </w:num>
  <w:num w:numId="35" w16cid:durableId="924340432">
    <w:abstractNumId w:val="4"/>
  </w:num>
  <w:num w:numId="36" w16cid:durableId="1202278665">
    <w:abstractNumId w:val="8"/>
  </w:num>
  <w:num w:numId="37" w16cid:durableId="103697980">
    <w:abstractNumId w:val="3"/>
  </w:num>
  <w:num w:numId="38" w16cid:durableId="311369117">
    <w:abstractNumId w:val="2"/>
  </w:num>
  <w:num w:numId="39" w16cid:durableId="2135824442">
    <w:abstractNumId w:val="1"/>
  </w:num>
  <w:num w:numId="40" w16cid:durableId="580525429">
    <w:abstractNumId w:val="0"/>
  </w:num>
  <w:num w:numId="41" w16cid:durableId="1534996244">
    <w:abstractNumId w:val="10"/>
  </w:num>
  <w:num w:numId="42" w16cid:durableId="878198867">
    <w:abstractNumId w:val="10"/>
  </w:num>
  <w:num w:numId="43" w16cid:durableId="753360114">
    <w:abstractNumId w:val="10"/>
  </w:num>
  <w:num w:numId="44" w16cid:durableId="174468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SV"/>
    <w:docVar w:name="dvnumam" w:val="0"/>
    <w:docVar w:name="dvpe" w:val="770.058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18/1806 vad gäller översyn av upphävandemekanismen(COM(2023)0642 – C9-0392/2023 – 2023/0371(COD))"/>
  </w:docVars>
  <w:rsids>
    <w:rsidRoot w:val="00131435"/>
    <w:rsid w:val="00002272"/>
    <w:rsid w:val="00064002"/>
    <w:rsid w:val="00066111"/>
    <w:rsid w:val="000677B9"/>
    <w:rsid w:val="000831BA"/>
    <w:rsid w:val="000A42CC"/>
    <w:rsid w:val="000B7F75"/>
    <w:rsid w:val="000E7DD9"/>
    <w:rsid w:val="0010095E"/>
    <w:rsid w:val="00125B37"/>
    <w:rsid w:val="00131435"/>
    <w:rsid w:val="00136500"/>
    <w:rsid w:val="00187494"/>
    <w:rsid w:val="001F32AE"/>
    <w:rsid w:val="002767FF"/>
    <w:rsid w:val="002B18FE"/>
    <w:rsid w:val="002B5493"/>
    <w:rsid w:val="002C5A3C"/>
    <w:rsid w:val="00343214"/>
    <w:rsid w:val="00361C00"/>
    <w:rsid w:val="00395FA1"/>
    <w:rsid w:val="003E15D4"/>
    <w:rsid w:val="00411CCE"/>
    <w:rsid w:val="0041666E"/>
    <w:rsid w:val="00421060"/>
    <w:rsid w:val="00431170"/>
    <w:rsid w:val="00471C19"/>
    <w:rsid w:val="004867E3"/>
    <w:rsid w:val="00494A28"/>
    <w:rsid w:val="004C0004"/>
    <w:rsid w:val="004C5D52"/>
    <w:rsid w:val="004E637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393"/>
    <w:rsid w:val="00817416"/>
    <w:rsid w:val="00842779"/>
    <w:rsid w:val="00865F67"/>
    <w:rsid w:val="008719A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4DA8"/>
    <w:rsid w:val="00A1687D"/>
    <w:rsid w:val="00A2012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E1C"/>
    <w:rsid w:val="00CB52CE"/>
    <w:rsid w:val="00CC2357"/>
    <w:rsid w:val="00CF071A"/>
    <w:rsid w:val="00D058B8"/>
    <w:rsid w:val="00D56C11"/>
    <w:rsid w:val="00D834A0"/>
    <w:rsid w:val="00D872DF"/>
    <w:rsid w:val="00D91E21"/>
    <w:rsid w:val="00DA3A34"/>
    <w:rsid w:val="00DA7FCD"/>
    <w:rsid w:val="00E365E1"/>
    <w:rsid w:val="00E820A4"/>
    <w:rsid w:val="00E96398"/>
    <w:rsid w:val="00EB006A"/>
    <w:rsid w:val="00EB4772"/>
    <w:rsid w:val="00ED169E"/>
    <w:rsid w:val="00ED4235"/>
    <w:rsid w:val="00EF347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025BE"/>
  <w15:chartTrackingRefBased/>
  <w15:docId w15:val="{471C304C-F2D8-4A20-A50A-2C7A0C76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84DA8"/>
    <w:pPr>
      <w:spacing w:after="120"/>
    </w:pPr>
  </w:style>
  <w:style w:type="paragraph" w:customStyle="1" w:styleId="NormalBold">
    <w:name w:val="NormalBold"/>
    <w:basedOn w:val="Normal"/>
    <w:rsid w:val="00984DA8"/>
    <w:rPr>
      <w:b/>
    </w:rPr>
  </w:style>
  <w:style w:type="paragraph" w:customStyle="1" w:styleId="NormalHanging12a">
    <w:name w:val="NormalHanging12a"/>
    <w:basedOn w:val="Normal"/>
    <w:rsid w:val="00984DA8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84DA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84DA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84DA8"/>
    <w:pPr>
      <w:spacing w:before="240"/>
    </w:pPr>
    <w:rPr>
      <w:b/>
    </w:rPr>
  </w:style>
  <w:style w:type="paragraph" w:customStyle="1" w:styleId="EPComma">
    <w:name w:val="EPComma"/>
    <w:basedOn w:val="Normal"/>
    <w:rsid w:val="00984DA8"/>
    <w:pPr>
      <w:spacing w:before="480" w:after="240"/>
    </w:pPr>
  </w:style>
  <w:style w:type="character" w:customStyle="1" w:styleId="AmNumberTabsChar">
    <w:name w:val="AmNumberTabs Char"/>
    <w:basedOn w:val="DefaultParagraphFont"/>
    <w:link w:val="AmNumberTabs"/>
    <w:rsid w:val="00984DA8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984DA8"/>
    <w:rPr>
      <w:b/>
      <w:sz w:val="24"/>
      <w:lang w:val="sv-SE"/>
    </w:rPr>
  </w:style>
  <w:style w:type="paragraph" w:customStyle="1" w:styleId="Normal6">
    <w:name w:val="Normal6"/>
    <w:basedOn w:val="Normal"/>
    <w:link w:val="Normal6Char"/>
    <w:rsid w:val="00984DA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984DA8"/>
    <w:rPr>
      <w:sz w:val="24"/>
      <w:lang w:val="sv-SE"/>
    </w:rPr>
  </w:style>
  <w:style w:type="paragraph" w:styleId="Revision">
    <w:name w:val="Revision"/>
    <w:hidden/>
    <w:uiPriority w:val="99"/>
    <w:semiHidden/>
    <w:rsid w:val="00EF3473"/>
    <w:rPr>
      <w:sz w:val="24"/>
      <w:lang w:val="sv-SE"/>
    </w:rPr>
  </w:style>
  <w:style w:type="paragraph" w:customStyle="1" w:styleId="FootnoteTextForceStyle">
    <w:name w:val="Footnote Text ForceStyle"/>
    <w:rsid w:val="002C5A3C"/>
    <w:pPr>
      <w:keepLines/>
      <w:widowControl w:val="0"/>
      <w:spacing w:line="240" w:lineRule="exact"/>
      <w:ind w:left="850" w:hanging="850"/>
    </w:pPr>
    <w:rPr>
      <w:sz w:val="24"/>
      <w:lang w:val="sv-SE" w:eastAsia="en-US"/>
    </w:rPr>
  </w:style>
  <w:style w:type="character" w:customStyle="1" w:styleId="Hyperlink1">
    <w:name w:val="Hyperlink1"/>
    <w:basedOn w:val="DefaultParagraphFont"/>
    <w:unhideWhenUsed/>
    <w:rsid w:val="002C5A3C"/>
    <w:rPr>
      <w:color w:val="0000FF"/>
      <w:u w:val="single"/>
    </w:rPr>
  </w:style>
  <w:style w:type="character" w:styleId="Hyperlink">
    <w:name w:val="Hyperlink"/>
    <w:basedOn w:val="DefaultParagraphFont"/>
    <w:rsid w:val="000B7F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2025-12-15T13:30:00Z</dcterms:created>
  <dcterms:modified xsi:type="dcterms:W3CDTF">2025-12-15T13:30:00Z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