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E755F" w14:paraId="645268F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371883" w14:textId="77777777" w:rsidR="00757DD5" w:rsidRPr="001E755F" w:rsidRDefault="00A24D8B" w:rsidP="00425111">
            <w:pPr>
              <w:pStyle w:val="EPName"/>
              <w:rPr>
                <w:lang w:val="sk-SK"/>
              </w:rPr>
            </w:pPr>
            <w:r w:rsidRPr="001E755F">
              <w:rPr>
                <w:lang w:val="sk-SK"/>
              </w:rPr>
              <w:t>Európsky parlament</w:t>
            </w:r>
          </w:p>
          <w:p w14:paraId="43B4269E" w14:textId="77777777" w:rsidR="00757DD5" w:rsidRPr="001E755F" w:rsidRDefault="00A24D8B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1E755F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13A4ABF" w14:textId="77777777" w:rsidR="00757DD5" w:rsidRPr="001E755F" w:rsidRDefault="00172070" w:rsidP="00425111">
            <w:pPr>
              <w:pStyle w:val="EPLogo"/>
              <w:rPr>
                <w:lang w:val="sk-SK"/>
              </w:rPr>
            </w:pPr>
            <w:r w:rsidRPr="001E755F">
              <w:rPr>
                <w:noProof/>
                <w:lang w:val="sk-SK"/>
              </w:rPr>
              <w:drawing>
                <wp:inline distT="0" distB="0" distL="0" distR="0" wp14:anchorId="52848FEB" wp14:editId="4292194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909A3A" w14:textId="77777777" w:rsidR="008E7632" w:rsidRPr="001E755F" w:rsidRDefault="008E7632" w:rsidP="008E7632">
      <w:pPr>
        <w:pStyle w:val="LineTop"/>
        <w:rPr>
          <w:lang w:val="sk-SK"/>
        </w:rPr>
      </w:pPr>
    </w:p>
    <w:p w14:paraId="6E797125" w14:textId="77777777" w:rsidR="008E7632" w:rsidRPr="001E755F" w:rsidRDefault="00A24D8B" w:rsidP="008E7632">
      <w:pPr>
        <w:pStyle w:val="ZSessionDoc"/>
        <w:rPr>
          <w:b/>
          <w:i w:val="0"/>
          <w:lang w:val="sk-SK"/>
        </w:rPr>
      </w:pPr>
      <w:r w:rsidRPr="001E755F">
        <w:rPr>
          <w:b/>
          <w:i w:val="0"/>
          <w:lang w:val="sk-SK"/>
        </w:rPr>
        <w:t>PRIJATÉ TEXTY</w:t>
      </w:r>
    </w:p>
    <w:p w14:paraId="43F67C9F" w14:textId="77777777" w:rsidR="008E7632" w:rsidRPr="001E755F" w:rsidRDefault="00A24D8B" w:rsidP="008E7632">
      <w:pPr>
        <w:pStyle w:val="LineBottom"/>
        <w:rPr>
          <w:lang w:val="sk-SK"/>
        </w:rPr>
      </w:pPr>
      <w:r w:rsidRPr="001E755F">
        <w:rPr>
          <w:rFonts w:cs="Arial"/>
          <w:i/>
          <w:sz w:val="20"/>
          <w:szCs w:val="22"/>
          <w:lang w:val="sk-SK"/>
        </w:rPr>
        <w:t xml:space="preserve"> </w:t>
      </w:r>
    </w:p>
    <w:p w14:paraId="6217B40E" w14:textId="46EE10BE" w:rsidR="009C4014" w:rsidRPr="001E755F" w:rsidRDefault="00A24D8B" w:rsidP="008E7632">
      <w:pPr>
        <w:pStyle w:val="ATHeading1"/>
        <w:spacing w:before="480"/>
        <w:rPr>
          <w:lang w:val="sk-SK"/>
        </w:rPr>
      </w:pPr>
      <w:bookmarkStart w:id="0" w:name="TA_Heading"/>
      <w:r w:rsidRPr="001E755F">
        <w:rPr>
          <w:lang w:val="sk-SK"/>
        </w:rPr>
        <w:t>P10_TA(2025)</w:t>
      </w:r>
      <w:bookmarkStart w:id="1" w:name="TANumber"/>
      <w:bookmarkEnd w:id="0"/>
      <w:r w:rsidRPr="001E755F">
        <w:rPr>
          <w:lang w:val="sk-SK"/>
        </w:rPr>
        <w:t>0</w:t>
      </w:r>
      <w:r w:rsidR="00770781" w:rsidRPr="001E755F">
        <w:rPr>
          <w:lang w:val="sk-SK"/>
        </w:rPr>
        <w:t>211</w:t>
      </w:r>
      <w:bookmarkEnd w:id="1"/>
    </w:p>
    <w:p w14:paraId="42636430" w14:textId="77777777" w:rsidR="009C4014" w:rsidRPr="001E755F" w:rsidRDefault="00A24D8B" w:rsidP="00A24D8B">
      <w:pPr>
        <w:pStyle w:val="ATHeading2"/>
        <w:rPr>
          <w:lang w:val="sk-SK"/>
        </w:rPr>
      </w:pPr>
      <w:bookmarkStart w:id="2" w:name="title"/>
      <w:r w:rsidRPr="001E755F">
        <w:rPr>
          <w:lang w:val="sk-SK"/>
        </w:rPr>
        <w:t>Predĺženie výnimky pre ťažké úžitkové vozidlá s nulovými emisiami</w:t>
      </w:r>
      <w:bookmarkEnd w:id="2"/>
      <w:r w:rsidR="009C4014" w:rsidRPr="001E755F">
        <w:rPr>
          <w:lang w:val="sk-SK"/>
        </w:rPr>
        <w:t xml:space="preserve"> </w:t>
      </w:r>
      <w:bookmarkStart w:id="3" w:name="Etoiles"/>
      <w:bookmarkEnd w:id="3"/>
    </w:p>
    <w:p w14:paraId="7A075CE0" w14:textId="77777777" w:rsidR="009C4014" w:rsidRPr="001E755F" w:rsidRDefault="009C4014" w:rsidP="009C4014">
      <w:pPr>
        <w:rPr>
          <w:i/>
          <w:vanish/>
          <w:lang w:val="sk-SK"/>
        </w:rPr>
      </w:pPr>
      <w:r w:rsidRPr="001E755F">
        <w:rPr>
          <w:i/>
          <w:lang w:val="sk-SK"/>
        </w:rPr>
        <w:fldChar w:fldCharType="begin"/>
      </w:r>
      <w:r w:rsidRPr="001E755F">
        <w:rPr>
          <w:i/>
          <w:lang w:val="sk-SK"/>
        </w:rPr>
        <w:instrText xml:space="preserve"> TC"</w:instrText>
      </w:r>
      <w:bookmarkStart w:id="4" w:name="DocNumber"/>
      <w:r w:rsidR="00A24D8B" w:rsidRPr="001E755F">
        <w:rPr>
          <w:i/>
          <w:lang w:val="sk-SK"/>
        </w:rPr>
        <w:instrText>(C10-0130/2025)</w:instrText>
      </w:r>
      <w:bookmarkEnd w:id="4"/>
      <w:r w:rsidRPr="001E755F">
        <w:rPr>
          <w:i/>
          <w:lang w:val="sk-SK"/>
        </w:rPr>
        <w:instrText xml:space="preserve">"\l3 \n&gt; \* MERGEFORMAT </w:instrText>
      </w:r>
      <w:r w:rsidRPr="001E755F">
        <w:rPr>
          <w:i/>
          <w:lang w:val="sk-SK"/>
        </w:rPr>
        <w:fldChar w:fldCharType="end"/>
      </w:r>
    </w:p>
    <w:p w14:paraId="0782FC9B" w14:textId="77777777" w:rsidR="00A24D8B" w:rsidRPr="001E755F" w:rsidRDefault="00A24D8B" w:rsidP="009C4014">
      <w:pPr>
        <w:rPr>
          <w:vanish/>
          <w:lang w:val="sk-SK"/>
        </w:rPr>
      </w:pPr>
      <w:bookmarkStart w:id="5" w:name="Commission"/>
      <w:r w:rsidRPr="001E755F">
        <w:rPr>
          <w:vanish/>
          <w:lang w:val="sk-SK"/>
        </w:rPr>
        <w:t>Výbor pre dopravu a cestovný ruch</w:t>
      </w:r>
    </w:p>
    <w:p w14:paraId="47218A45" w14:textId="7B771D29" w:rsidR="009C4014" w:rsidRPr="001E755F" w:rsidRDefault="00A24D8B" w:rsidP="009C4014">
      <w:pPr>
        <w:rPr>
          <w:vanish/>
          <w:lang w:val="sk-SK"/>
        </w:rPr>
      </w:pPr>
      <w:bookmarkStart w:id="6" w:name="PE"/>
      <w:bookmarkEnd w:id="5"/>
      <w:r w:rsidRPr="001E755F">
        <w:rPr>
          <w:vanish/>
          <w:lang w:val="sk-SK"/>
        </w:rPr>
        <w:t>PE</w:t>
      </w:r>
      <w:r w:rsidR="00E54761" w:rsidRPr="001E755F">
        <w:rPr>
          <w:vanish/>
          <w:lang w:val="sk-SK"/>
        </w:rPr>
        <w:t>777</w:t>
      </w:r>
      <w:r w:rsidRPr="001E755F">
        <w:rPr>
          <w:vanish/>
          <w:lang w:val="sk-SK"/>
        </w:rPr>
        <w:t>.</w:t>
      </w:r>
      <w:r w:rsidR="00E54761" w:rsidRPr="001E755F">
        <w:rPr>
          <w:vanish/>
          <w:lang w:val="sk-SK"/>
        </w:rPr>
        <w:t>284</w:t>
      </w:r>
      <w:bookmarkEnd w:id="6"/>
    </w:p>
    <w:p w14:paraId="6CC2493D" w14:textId="42CCFFBE" w:rsidR="009C4014" w:rsidRPr="001E755F" w:rsidRDefault="00A24D8B" w:rsidP="009E2FED">
      <w:pPr>
        <w:pStyle w:val="ATHeading3"/>
        <w:spacing w:after="240"/>
        <w:rPr>
          <w:lang w:val="sk-SK"/>
        </w:rPr>
      </w:pPr>
      <w:bookmarkStart w:id="7" w:name="Sujet"/>
      <w:r w:rsidRPr="001E755F">
        <w:rPr>
          <w:lang w:val="sk-SK"/>
        </w:rPr>
        <w:t>Legislatívne uznesenie Európskeho parlamentu zo 7. októbra 2025 o návrhu smernice Európskeho parlamentu a Rady, ktorou sa mení smernica 1999/62/ES, pokiaľ ide o predĺženie obdobia, počas ktorého môžu ťažké úžitkové vozidlá s nulovými emisiami využívať výrazne znížené sadzby poplatkov za infraštruktúru alebo užívateľských poplatkov alebo byť oslobodené od ich platenia</w:t>
      </w:r>
      <w:bookmarkEnd w:id="7"/>
      <w:r w:rsidR="00E73B02" w:rsidRPr="001E755F">
        <w:rPr>
          <w:lang w:val="sk-SK"/>
        </w:rPr>
        <w:t xml:space="preserve"> </w:t>
      </w:r>
      <w:bookmarkStart w:id="8" w:name="References"/>
      <w:r w:rsidRPr="001E755F">
        <w:rPr>
          <w:lang w:val="sk-SK"/>
        </w:rPr>
        <w:t xml:space="preserve">(COM(2025)0348 – C10-0130/2025 – 2025/0188(COD)) </w:t>
      </w:r>
      <w:bookmarkEnd w:id="8"/>
    </w:p>
    <w:p w14:paraId="6F9703AF" w14:textId="0F753189" w:rsidR="00A24D8B" w:rsidRPr="001E755F" w:rsidRDefault="00A24D8B" w:rsidP="009E2FED">
      <w:pPr>
        <w:spacing w:after="240"/>
        <w:rPr>
          <w:b/>
          <w:bCs/>
          <w:lang w:val="sk-SK"/>
        </w:rPr>
      </w:pPr>
      <w:r w:rsidRPr="001E755F">
        <w:rPr>
          <w:b/>
          <w:bCs/>
          <w:lang w:val="sk-SK"/>
        </w:rPr>
        <w:t>(Riadny legislatívny postup: prvé čítanie)</w:t>
      </w:r>
    </w:p>
    <w:p w14:paraId="748090A2" w14:textId="77777777" w:rsidR="006E5420" w:rsidRPr="001E755F" w:rsidRDefault="00A24D8B" w:rsidP="009E2FED">
      <w:pPr>
        <w:pStyle w:val="Normal12"/>
        <w:rPr>
          <w:i/>
          <w:szCs w:val="24"/>
          <w:lang w:val="sk-SK"/>
        </w:rPr>
      </w:pPr>
      <w:bookmarkStart w:id="9" w:name="TextBodyBegin"/>
      <w:bookmarkEnd w:id="9"/>
      <w:r w:rsidRPr="001E755F">
        <w:rPr>
          <w:i/>
          <w:szCs w:val="24"/>
          <w:lang w:val="sk-SK"/>
        </w:rPr>
        <w:t>Európsky parlament,</w:t>
      </w:r>
    </w:p>
    <w:p w14:paraId="5D47D9C8" w14:textId="6644E0DE" w:rsidR="008A5336" w:rsidRPr="001E755F" w:rsidRDefault="008A5336" w:rsidP="005A3B8B">
      <w:pPr>
        <w:pStyle w:val="NormalHanging12a"/>
      </w:pPr>
      <w:r w:rsidRPr="001E755F">
        <w:t>–</w:t>
      </w:r>
      <w:r w:rsidRPr="001E755F">
        <w:tab/>
        <w:t>so zreteľom na návrh Komisie pre Európsky parlament a Radu (COM(2025)0348),</w:t>
      </w:r>
    </w:p>
    <w:p w14:paraId="287AB9DB" w14:textId="0DD40DCF" w:rsidR="008A5336" w:rsidRPr="001E755F" w:rsidRDefault="008A5336" w:rsidP="005A3B8B">
      <w:pPr>
        <w:pStyle w:val="NormalHanging12a"/>
      </w:pPr>
      <w:r w:rsidRPr="001E755F">
        <w:t>–</w:t>
      </w:r>
      <w:r w:rsidRPr="001E755F">
        <w:tab/>
        <w:t>so zreteľom na článok 294 ods. 2 a článok 114 Zmluvy o fungovaní Európskej únie, v súlade s ktorými Komisia predložila návrh Európskemu parlamentu (C10</w:t>
      </w:r>
      <w:r w:rsidRPr="001E755F">
        <w:noBreakHyphen/>
        <w:t>0130/2025),</w:t>
      </w:r>
    </w:p>
    <w:p w14:paraId="0738C521" w14:textId="77777777" w:rsidR="008A5336" w:rsidRPr="001E755F" w:rsidRDefault="008A5336" w:rsidP="005A3B8B">
      <w:pPr>
        <w:pStyle w:val="NormalHanging12a"/>
      </w:pPr>
      <w:r w:rsidRPr="001E755F">
        <w:t>–</w:t>
      </w:r>
      <w:r w:rsidRPr="001E755F">
        <w:tab/>
        <w:t>so zreteľom na článok 294 ods. 3 Zmluvy o fungovaní Európskej únie,</w:t>
      </w:r>
    </w:p>
    <w:p w14:paraId="4B02A7C3" w14:textId="192C81FE" w:rsidR="008A5336" w:rsidRPr="001E755F" w:rsidRDefault="008A5336" w:rsidP="005A3B8B">
      <w:pPr>
        <w:pStyle w:val="NormalHanging12a"/>
        <w:rPr>
          <w:rFonts w:eastAsia="Calibri" w:cs="Arial"/>
          <w:noProof/>
          <w:szCs w:val="22"/>
          <w:lang w:eastAsia="en-US"/>
        </w:rPr>
      </w:pPr>
      <w:r w:rsidRPr="001E755F">
        <w:t>–</w:t>
      </w:r>
      <w:r w:rsidRPr="001E755F">
        <w:tab/>
      </w:r>
      <w:r w:rsidRPr="001E755F">
        <w:rPr>
          <w:rFonts w:eastAsia="Calibri" w:cs="Arial"/>
          <w:noProof/>
          <w:szCs w:val="22"/>
          <w:lang w:eastAsia="en-US"/>
        </w:rPr>
        <w:t xml:space="preserve">so zreteľom na stanovisko Európskeho hospodárskeho a sociálneho výboru </w:t>
      </w:r>
      <w:r w:rsidRPr="001E755F">
        <w:t>z 18. septembra 2025</w:t>
      </w:r>
      <w:r w:rsidRPr="001E755F">
        <w:rPr>
          <w:rFonts w:eastAsia="Calibri" w:cs="Arial"/>
          <w:b/>
          <w:bCs/>
          <w:noProof/>
          <w:szCs w:val="22"/>
          <w:vertAlign w:val="superscript"/>
          <w:lang w:eastAsia="en-US"/>
        </w:rPr>
        <w:footnoteReference w:id="1"/>
      </w:r>
      <w:r w:rsidRPr="001E755F">
        <w:rPr>
          <w:rFonts w:eastAsia="Calibri" w:cs="Arial"/>
          <w:noProof/>
          <w:szCs w:val="22"/>
          <w:lang w:eastAsia="en-US"/>
        </w:rPr>
        <w:t>,</w:t>
      </w:r>
    </w:p>
    <w:p w14:paraId="2EDDE8EF" w14:textId="7CC7D516" w:rsidR="008A5336" w:rsidRPr="001E755F" w:rsidRDefault="008A5336" w:rsidP="005A3B8B">
      <w:pPr>
        <w:pStyle w:val="NormalHanging12a"/>
      </w:pPr>
      <w:r w:rsidRPr="001E755F">
        <w:t>–</w:t>
      </w:r>
      <w:r w:rsidRPr="001E755F">
        <w:tab/>
      </w:r>
      <w:r w:rsidRPr="001E755F">
        <w:rPr>
          <w:rFonts w:eastAsia="Calibri" w:cs="Arial"/>
          <w:noProof/>
          <w:szCs w:val="22"/>
          <w:lang w:eastAsia="en-US"/>
        </w:rPr>
        <w:t>po porade s Výborom regiónov,</w:t>
      </w:r>
    </w:p>
    <w:p w14:paraId="27EF29CE" w14:textId="38A4FBFA" w:rsidR="008A5336" w:rsidRPr="001E755F" w:rsidRDefault="008A5336" w:rsidP="005A3B8B">
      <w:pPr>
        <w:pStyle w:val="NormalHanging12a"/>
      </w:pPr>
      <w:r w:rsidRPr="001E755F">
        <w:t>–</w:t>
      </w:r>
      <w:r w:rsidRPr="001E755F">
        <w:tab/>
        <w:t xml:space="preserve">so zreteľom na záväzok zástupcu Rady, vyjadrený v liste z 10. septembra 2025, schváliť pozíciu </w:t>
      </w:r>
      <w:r w:rsidRPr="001E755F">
        <w:rPr>
          <w:rFonts w:eastAsia="Calibri" w:cs="Arial"/>
          <w:noProof/>
          <w:szCs w:val="22"/>
          <w:lang w:eastAsia="en-US"/>
        </w:rPr>
        <w:t>Európskeho</w:t>
      </w:r>
      <w:r w:rsidRPr="001E755F">
        <w:t xml:space="preserve"> parlamentu v súlade s článkom 294 ods. 4 Zmluvy o fungovaní Európskej únie,</w:t>
      </w:r>
    </w:p>
    <w:p w14:paraId="1D237AC3" w14:textId="0A0406F6" w:rsidR="008A5336" w:rsidRPr="001E755F" w:rsidRDefault="008A5336" w:rsidP="005A3B8B">
      <w:pPr>
        <w:pStyle w:val="NormalHanging12a"/>
      </w:pPr>
      <w:r w:rsidRPr="001E755F">
        <w:t>–</w:t>
      </w:r>
      <w:r w:rsidRPr="001E755F">
        <w:tab/>
        <w:t>so zreteľom na člán</w:t>
      </w:r>
      <w:r w:rsidR="005A3B8B" w:rsidRPr="001E755F">
        <w:t>ky</w:t>
      </w:r>
      <w:r w:rsidRPr="001E755F">
        <w:t xml:space="preserve"> 60 a 170 rokovacieho poriadku,</w:t>
      </w:r>
    </w:p>
    <w:p w14:paraId="4B1A51A8" w14:textId="77777777" w:rsidR="008A5336" w:rsidRPr="001E755F" w:rsidRDefault="008A5336" w:rsidP="005A3B8B">
      <w:pPr>
        <w:pStyle w:val="NormalHanging12a"/>
      </w:pPr>
      <w:r w:rsidRPr="001E755F">
        <w:t>1.</w:t>
      </w:r>
      <w:r w:rsidRPr="001E755F">
        <w:tab/>
        <w:t>prijíma nasledujúcu pozíciu v prvom čítaní;</w:t>
      </w:r>
    </w:p>
    <w:p w14:paraId="4BBB7990" w14:textId="77777777" w:rsidR="008A5336" w:rsidRPr="001E755F" w:rsidRDefault="008A5336" w:rsidP="005A3B8B">
      <w:pPr>
        <w:pStyle w:val="NormalHanging12a"/>
      </w:pPr>
      <w:r w:rsidRPr="001E755F">
        <w:t>2.</w:t>
      </w:r>
      <w:r w:rsidRPr="001E755F">
        <w:tab/>
        <w:t xml:space="preserve">žiada Komisiu, aby mu vec znovu predložila, ak nahrádza, podstatne mení alebo má v </w:t>
      </w:r>
      <w:r w:rsidRPr="001E755F">
        <w:lastRenderedPageBreak/>
        <w:t>úmysle podstatne zmeniť svoj návrh;</w:t>
      </w:r>
    </w:p>
    <w:p w14:paraId="723379DA" w14:textId="77777777" w:rsidR="008A5336" w:rsidRPr="001E755F" w:rsidRDefault="008A5336" w:rsidP="005A3B8B">
      <w:pPr>
        <w:pStyle w:val="NormalHanging12a"/>
      </w:pPr>
      <w:r w:rsidRPr="001E755F">
        <w:t>3.</w:t>
      </w:r>
      <w:r w:rsidRPr="001E755F">
        <w:tab/>
        <w:t>poveruje svoju predsedníčku, aby postúpila túto pozíciu Rade, Komisii a národným parlamentom.</w:t>
      </w:r>
    </w:p>
    <w:p w14:paraId="3BD699A8" w14:textId="77777777" w:rsidR="008A5336" w:rsidRPr="001E755F" w:rsidRDefault="008A5336" w:rsidP="008A5336">
      <w:pPr>
        <w:pStyle w:val="NormalHanging12a"/>
        <w:sectPr w:rsidR="008A5336" w:rsidRPr="001E755F" w:rsidSect="008A533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D18671" w14:textId="5B25B311" w:rsidR="008A5336" w:rsidRPr="001E755F" w:rsidRDefault="008A5336" w:rsidP="008A5336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1E755F">
        <w:rPr>
          <w:b/>
          <w:lang w:val="sk-SK"/>
        </w:rPr>
        <w:lastRenderedPageBreak/>
        <w:t>P10_TC1-COD(2025)0188</w:t>
      </w:r>
    </w:p>
    <w:p w14:paraId="19880396" w14:textId="14EECFB2" w:rsidR="008A5336" w:rsidRDefault="008A5336" w:rsidP="008A5336">
      <w:pPr>
        <w:pStyle w:val="AmNumberTabs"/>
        <w:spacing w:before="0" w:after="240"/>
        <w:rPr>
          <w:rFonts w:eastAsia="Calibri" w:cs="Arial"/>
          <w:bCs/>
          <w:noProof/>
          <w:szCs w:val="22"/>
          <w:lang w:eastAsia="en-US"/>
        </w:rPr>
      </w:pPr>
      <w:r w:rsidRPr="001E755F">
        <w:t xml:space="preserve">Pozícia Európskeho parlamentu prijatá v prvom čítaní 7. októbra 2025 na účely prijatia smernice Európskeho parlamentu a Rady (EÚ) 2025/..., </w:t>
      </w:r>
      <w:r w:rsidRPr="001E755F">
        <w:rPr>
          <w:rFonts w:eastAsia="Calibri" w:cs="Arial"/>
          <w:bCs/>
          <w:noProof/>
          <w:szCs w:val="22"/>
          <w:lang w:eastAsia="en-US"/>
        </w:rPr>
        <w:t xml:space="preserve">ktorou sa mení smernica 1999/62/ES, pokiaľ ide o predĺženie obdobia, počas ktorého môžu ťažké úžitkové vozidlá s nulovými </w:t>
      </w:r>
      <w:r w:rsidRPr="001E755F">
        <w:rPr>
          <w:rFonts w:eastAsia="Calibri"/>
          <w:bCs/>
          <w:szCs w:val="22"/>
          <w:lang w:eastAsia="en-US"/>
        </w:rPr>
        <w:t>emisiami</w:t>
      </w:r>
      <w:r w:rsidRPr="001E755F">
        <w:rPr>
          <w:rFonts w:eastAsia="Calibri" w:cs="Arial"/>
          <w:bCs/>
          <w:noProof/>
          <w:szCs w:val="22"/>
          <w:lang w:eastAsia="en-US"/>
        </w:rPr>
        <w:t xml:space="preserve"> využívať výrazne znížené sadzby poplatkov za infraštruktúru alebo užívateľských poplatkov alebo byť oslobodené od ich platenia</w:t>
      </w:r>
    </w:p>
    <w:p w14:paraId="5AD34281" w14:textId="6E6553CC" w:rsidR="00F55327" w:rsidRPr="001E755F" w:rsidRDefault="00F55327" w:rsidP="00D23CA1">
      <w:pPr>
        <w:pStyle w:val="AmNumberTabs"/>
        <w:spacing w:after="240"/>
        <w:rPr>
          <w:rFonts w:eastAsia="Calibri" w:cs="Arial"/>
          <w:bCs/>
          <w:noProof/>
          <w:szCs w:val="22"/>
          <w:lang w:eastAsia="en-US"/>
        </w:rPr>
      </w:pPr>
      <w:r w:rsidRPr="00F55327">
        <w:rPr>
          <w:rFonts w:eastAsia="Calibri" w:cs="Arial"/>
          <w:b w:val="0"/>
          <w:i/>
          <w:iCs/>
          <w:noProof/>
          <w:szCs w:val="22"/>
          <w:lang w:eastAsia="en-US"/>
        </w:rPr>
        <w:t xml:space="preserve">(Keďže bola dosiahnutá dohoda medzi Európskym parlamentom a Radou, pozícia Európskeho parlamentu zodpovedá záverečnému legislatívnemu aktu, </w:t>
      </w:r>
      <w:r>
        <w:rPr>
          <w:rFonts w:eastAsia="Calibri" w:cs="Arial"/>
          <w:b w:val="0"/>
          <w:i/>
          <w:iCs/>
          <w:noProof/>
          <w:szCs w:val="22"/>
          <w:lang w:eastAsia="en-US"/>
        </w:rPr>
        <w:t>smernici</w:t>
      </w:r>
      <w:r w:rsidRPr="00F55327">
        <w:rPr>
          <w:rFonts w:eastAsia="Calibri" w:cs="Arial"/>
          <w:b w:val="0"/>
          <w:i/>
          <w:iCs/>
          <w:noProof/>
          <w:szCs w:val="22"/>
          <w:lang w:eastAsia="en-US"/>
        </w:rPr>
        <w:t xml:space="preserve"> (EÚ) </w:t>
      </w:r>
      <w:r>
        <w:rPr>
          <w:rFonts w:eastAsia="Calibri" w:cs="Arial"/>
          <w:b w:val="0"/>
          <w:i/>
          <w:iCs/>
          <w:noProof/>
          <w:szCs w:val="22"/>
          <w:lang w:eastAsia="en-US"/>
        </w:rPr>
        <w:t>202</w:t>
      </w:r>
      <w:r w:rsidR="00D23CA1">
        <w:rPr>
          <w:rFonts w:eastAsia="Calibri" w:cs="Arial"/>
          <w:b w:val="0"/>
          <w:i/>
          <w:iCs/>
          <w:noProof/>
          <w:szCs w:val="22"/>
          <w:lang w:eastAsia="en-US"/>
        </w:rPr>
        <w:t>5</w:t>
      </w:r>
      <w:r>
        <w:rPr>
          <w:rFonts w:eastAsia="Calibri" w:cs="Arial"/>
          <w:b w:val="0"/>
          <w:i/>
          <w:iCs/>
          <w:noProof/>
          <w:szCs w:val="22"/>
          <w:lang w:eastAsia="en-US"/>
        </w:rPr>
        <w:t>/2459</w:t>
      </w:r>
      <w:r w:rsidRPr="00F55327">
        <w:rPr>
          <w:rFonts w:eastAsia="Calibri" w:cs="Arial"/>
          <w:b w:val="0"/>
          <w:i/>
          <w:iCs/>
          <w:noProof/>
          <w:szCs w:val="22"/>
          <w:lang w:eastAsia="en-US"/>
        </w:rPr>
        <w:t>.)</w:t>
      </w:r>
    </w:p>
    <w:sectPr w:rsidR="00F55327" w:rsidRPr="001E755F" w:rsidSect="006665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9DA36" w14:textId="77777777" w:rsidR="00A24D8B" w:rsidRDefault="00A24D8B" w:rsidP="009C4014">
      <w:r>
        <w:separator/>
      </w:r>
    </w:p>
  </w:endnote>
  <w:endnote w:type="continuationSeparator" w:id="0">
    <w:p w14:paraId="4DE219A4" w14:textId="77777777" w:rsidR="00A24D8B" w:rsidRDefault="00A24D8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998A0" w14:textId="77777777" w:rsidR="008A5336" w:rsidRPr="0017631B" w:rsidRDefault="008A533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1E83B" w14:textId="77777777" w:rsidR="008A5336" w:rsidRPr="0017631B" w:rsidRDefault="008A53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75C91" w14:textId="77777777" w:rsidR="008A5336" w:rsidRPr="0017631B" w:rsidRDefault="008A533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B64C" w14:textId="77777777" w:rsidR="00185E15" w:rsidRDefault="00185E15">
    <w:pPr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B9EF" w14:textId="77777777" w:rsidR="00185E15" w:rsidRDefault="00185E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DE5B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4A31A" w14:textId="77777777" w:rsidR="00A24D8B" w:rsidRDefault="00A24D8B" w:rsidP="009C4014">
      <w:r>
        <w:separator/>
      </w:r>
    </w:p>
  </w:footnote>
  <w:footnote w:type="continuationSeparator" w:id="0">
    <w:p w14:paraId="289718D6" w14:textId="77777777" w:rsidR="00A24D8B" w:rsidRDefault="00A24D8B" w:rsidP="009C4014">
      <w:r>
        <w:continuationSeparator/>
      </w:r>
    </w:p>
  </w:footnote>
  <w:footnote w:id="1">
    <w:p w14:paraId="2E139003" w14:textId="51CA80CD" w:rsidR="008A5336" w:rsidRPr="008A5336" w:rsidRDefault="008A5336" w:rsidP="008A5336">
      <w:pPr>
        <w:pStyle w:val="FootnoteText"/>
        <w:ind w:left="851" w:hanging="851"/>
        <w:contextualSpacing/>
        <w:rPr>
          <w:color w:val="000000"/>
          <w:sz w:val="24"/>
          <w:szCs w:val="24"/>
          <w:lang w:val="sk-SK"/>
        </w:rPr>
      </w:pPr>
      <w:r w:rsidRPr="008A5336">
        <w:rPr>
          <w:rStyle w:val="FootnoteReference"/>
          <w:b/>
          <w:bCs/>
          <w:sz w:val="24"/>
          <w:szCs w:val="24"/>
          <w:lang w:val="sk-SK"/>
        </w:rPr>
        <w:footnoteRef/>
      </w:r>
      <w:r w:rsidRPr="008A5336">
        <w:rPr>
          <w:sz w:val="24"/>
          <w:szCs w:val="24"/>
          <w:lang w:val="sk-SK"/>
        </w:rPr>
        <w:tab/>
        <w:t>Zatiaľ neuverejnené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2453B" w14:textId="77777777" w:rsidR="008A5336" w:rsidRPr="0017631B" w:rsidRDefault="008A53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AAD5F" w14:textId="77777777" w:rsidR="008A5336" w:rsidRPr="0017631B" w:rsidRDefault="008A53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4F6DA" w14:textId="77777777" w:rsidR="008A5336" w:rsidRPr="0017631B" w:rsidRDefault="008A533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E75F7" w14:textId="77777777" w:rsidR="00185E15" w:rsidRDefault="00185E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5CD54" w14:textId="77777777" w:rsidR="00185E15" w:rsidRDefault="00185E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6EB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5403538">
    <w:abstractNumId w:val="3"/>
  </w:num>
  <w:num w:numId="2" w16cid:durableId="528760722">
    <w:abstractNumId w:val="2"/>
  </w:num>
  <w:num w:numId="3" w16cid:durableId="650445762">
    <w:abstractNumId w:val="1"/>
  </w:num>
  <w:num w:numId="4" w16cid:durableId="1658681496">
    <w:abstractNumId w:val="0"/>
  </w:num>
  <w:num w:numId="5" w16cid:durableId="1560632844">
    <w:abstractNumId w:val="6"/>
  </w:num>
  <w:num w:numId="6" w16cid:durableId="1089043295">
    <w:abstractNumId w:val="5"/>
  </w:num>
  <w:num w:numId="7" w16cid:durableId="1456827705">
    <w:abstractNumId w:val="4"/>
  </w:num>
  <w:num w:numId="8" w16cid:durableId="1643192152">
    <w:abstractNumId w:val="7"/>
  </w:num>
  <w:num w:numId="9" w16cid:durableId="529953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8B"/>
    <w:rsid w:val="00013B2A"/>
    <w:rsid w:val="00022309"/>
    <w:rsid w:val="000C2BFE"/>
    <w:rsid w:val="000F27A9"/>
    <w:rsid w:val="000F6208"/>
    <w:rsid w:val="00125CBC"/>
    <w:rsid w:val="00172070"/>
    <w:rsid w:val="00185E15"/>
    <w:rsid w:val="001D4BBF"/>
    <w:rsid w:val="001D63A8"/>
    <w:rsid w:val="001E755F"/>
    <w:rsid w:val="002924A9"/>
    <w:rsid w:val="002A1D4E"/>
    <w:rsid w:val="002B4BCF"/>
    <w:rsid w:val="002F1925"/>
    <w:rsid w:val="00300C61"/>
    <w:rsid w:val="00312A38"/>
    <w:rsid w:val="003202DD"/>
    <w:rsid w:val="003775B9"/>
    <w:rsid w:val="00395807"/>
    <w:rsid w:val="00397B2A"/>
    <w:rsid w:val="003C78CC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A3B8B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0781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A5336"/>
    <w:rsid w:val="008B1C2E"/>
    <w:rsid w:val="008B7330"/>
    <w:rsid w:val="008D7C16"/>
    <w:rsid w:val="008E7632"/>
    <w:rsid w:val="008F0108"/>
    <w:rsid w:val="008F7F1C"/>
    <w:rsid w:val="00907FE0"/>
    <w:rsid w:val="009865B7"/>
    <w:rsid w:val="009B7E10"/>
    <w:rsid w:val="009C4014"/>
    <w:rsid w:val="009E2FED"/>
    <w:rsid w:val="009F28EF"/>
    <w:rsid w:val="00A1739E"/>
    <w:rsid w:val="00A24D8B"/>
    <w:rsid w:val="00A751B0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23CA1"/>
    <w:rsid w:val="00D91669"/>
    <w:rsid w:val="00DF097A"/>
    <w:rsid w:val="00DF53A8"/>
    <w:rsid w:val="00E039BF"/>
    <w:rsid w:val="00E11822"/>
    <w:rsid w:val="00E54761"/>
    <w:rsid w:val="00E73B02"/>
    <w:rsid w:val="00E74BF3"/>
    <w:rsid w:val="00EF3610"/>
    <w:rsid w:val="00F177A4"/>
    <w:rsid w:val="00F55327"/>
    <w:rsid w:val="00F97E29"/>
    <w:rsid w:val="00FA4198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3FDEE"/>
  <w15:chartTrackingRefBased/>
  <w15:docId w15:val="{6DC24649-3BA2-4BF3-8639-5E2F7956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8A5336"/>
    <w:pPr>
      <w:widowControl w:val="0"/>
      <w:spacing w:after="240"/>
      <w:ind w:left="567" w:hanging="567"/>
    </w:pPr>
    <w:rPr>
      <w:lang w:val="sk-SK"/>
    </w:rPr>
  </w:style>
  <w:style w:type="paragraph" w:customStyle="1" w:styleId="AmNumberTabs">
    <w:name w:val="AmNumberTabs"/>
    <w:basedOn w:val="Normal"/>
    <w:link w:val="AmNumberTabsChar"/>
    <w:rsid w:val="008A5336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sk-SK"/>
    </w:rPr>
  </w:style>
  <w:style w:type="character" w:customStyle="1" w:styleId="AmNumberTabsChar">
    <w:name w:val="AmNumberTabs Char"/>
    <w:basedOn w:val="DefaultParagraphFont"/>
    <w:link w:val="AmNumberTabs"/>
    <w:rsid w:val="008A5336"/>
    <w:rPr>
      <w:b/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8A5336"/>
    <w:pPr>
      <w:keepNext/>
      <w:spacing w:before="600" w:after="120"/>
      <w:jc w:val="both"/>
    </w:pPr>
    <w:rPr>
      <w:szCs w:val="24"/>
      <w:lang w:val="en-GB"/>
    </w:rPr>
  </w:style>
  <w:style w:type="character" w:styleId="Hyperlink">
    <w:name w:val="Hyperlink"/>
    <w:rsid w:val="008A5336"/>
    <w:rPr>
      <w:color w:val="0000FF"/>
      <w:u w:val="single"/>
    </w:rPr>
  </w:style>
  <w:style w:type="character" w:customStyle="1" w:styleId="FootnoteTextChar">
    <w:name w:val="Footnote Text Char"/>
    <w:link w:val="FootnoteText"/>
    <w:rsid w:val="008A5336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295</Words>
  <Characters>1945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GOROPECNIK Tina</cp:lastModifiedBy>
  <cp:revision>2</cp:revision>
  <cp:lastPrinted>2014-08-07T13:15:00Z</cp:lastPrinted>
  <dcterms:created xsi:type="dcterms:W3CDTF">2026-01-14T14:23:00Z</dcterms:created>
  <dcterms:modified xsi:type="dcterms:W3CDTF">2026-01-14T14:23:00Z</dcterms:modified>
</cp:coreProperties>
</file>