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6257" w14:paraId="5E4E4A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8429AA" w14:textId="77777777" w:rsidR="00751A4A" w:rsidRPr="003B6257" w:rsidRDefault="007853F8" w:rsidP="0010095E">
            <w:pPr>
              <w:pStyle w:val="EPName"/>
            </w:pPr>
            <w:r w:rsidRPr="003B6257">
              <w:t>Europski parlament</w:t>
            </w:r>
          </w:p>
          <w:p w14:paraId="4C3F384C" w14:textId="77777777" w:rsidR="00751A4A" w:rsidRPr="003B62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6257">
              <w:t>2024</w:t>
            </w:r>
            <w:r w:rsidR="00817416" w:rsidRPr="003B6257">
              <w:t>-202</w:t>
            </w:r>
            <w:r w:rsidRPr="003B6257">
              <w:t>9</w:t>
            </w:r>
          </w:p>
        </w:tc>
        <w:tc>
          <w:tcPr>
            <w:tcW w:w="2268" w:type="dxa"/>
            <w:shd w:val="clear" w:color="auto" w:fill="auto"/>
          </w:tcPr>
          <w:p w14:paraId="305F97C6" w14:textId="77777777" w:rsidR="00751A4A" w:rsidRPr="003B6257" w:rsidRDefault="00187494" w:rsidP="0010095E">
            <w:pPr>
              <w:pStyle w:val="EPLogo"/>
            </w:pPr>
            <w:r w:rsidRPr="003B6257">
              <w:rPr>
                <w:noProof/>
                <w:lang w:eastAsia="ja-JP"/>
              </w:rPr>
              <w:drawing>
                <wp:inline distT="0" distB="0" distL="0" distR="0" wp14:anchorId="3BABD4B2" wp14:editId="4A0B7F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8A9DC6" w14:textId="77777777" w:rsidR="00D058B8" w:rsidRPr="003B6257" w:rsidRDefault="00D058B8" w:rsidP="004C5D52">
      <w:pPr>
        <w:pStyle w:val="LineTop"/>
      </w:pPr>
    </w:p>
    <w:p w14:paraId="6CD3B521" w14:textId="77777777" w:rsidR="00680577" w:rsidRPr="003B6257" w:rsidRDefault="007853F8" w:rsidP="00680577">
      <w:pPr>
        <w:pStyle w:val="EPBodyTA1"/>
      </w:pPr>
      <w:r w:rsidRPr="003B6257">
        <w:t>USVOJENI TEKSTOVI</w:t>
      </w:r>
    </w:p>
    <w:p w14:paraId="10D8AB1A" w14:textId="77777777" w:rsidR="00D058B8" w:rsidRPr="003B6257" w:rsidRDefault="00D058B8" w:rsidP="00D058B8">
      <w:pPr>
        <w:pStyle w:val="LineBottom"/>
      </w:pPr>
    </w:p>
    <w:p w14:paraId="6328BE83" w14:textId="1BF1E59A" w:rsidR="007853F8" w:rsidRPr="003B6257" w:rsidRDefault="007853F8" w:rsidP="007853F8">
      <w:pPr>
        <w:pStyle w:val="ATHeading1"/>
      </w:pPr>
      <w:bookmarkStart w:id="0" w:name="TANumber"/>
      <w:r w:rsidRPr="003B6257">
        <w:t>P10_TA(2025)0</w:t>
      </w:r>
      <w:r w:rsidR="0070549D">
        <w:t>212</w:t>
      </w:r>
      <w:bookmarkEnd w:id="0"/>
    </w:p>
    <w:p w14:paraId="2D219F07" w14:textId="77777777" w:rsidR="007853F8" w:rsidRPr="003B6257" w:rsidRDefault="007853F8" w:rsidP="007853F8">
      <w:pPr>
        <w:pStyle w:val="ATHeading2"/>
      </w:pPr>
      <w:bookmarkStart w:id="1" w:name="title"/>
      <w:r w:rsidRPr="003B6257">
        <w:t>Uloga politika EU-a u oblikovanju europskog modela sporta</w:t>
      </w:r>
      <w:bookmarkEnd w:id="1"/>
    </w:p>
    <w:p w14:paraId="7DDE978C" w14:textId="77777777" w:rsidR="007853F8" w:rsidRPr="003B6257" w:rsidRDefault="007853F8" w:rsidP="007853F8">
      <w:pPr>
        <w:rPr>
          <w:i/>
          <w:vanish/>
        </w:rPr>
      </w:pPr>
      <w:r w:rsidRPr="003B6257">
        <w:rPr>
          <w:i/>
        </w:rPr>
        <w:fldChar w:fldCharType="begin"/>
      </w:r>
      <w:r w:rsidRPr="003B6257">
        <w:rPr>
          <w:i/>
        </w:rPr>
        <w:instrText xml:space="preserve"> TC"(</w:instrText>
      </w:r>
      <w:bookmarkStart w:id="2" w:name="DocNumber"/>
      <w:r w:rsidRPr="003B6257">
        <w:rPr>
          <w:i/>
        </w:rPr>
        <w:instrText>A10-0157/2025</w:instrText>
      </w:r>
      <w:bookmarkEnd w:id="2"/>
      <w:r w:rsidRPr="003B6257">
        <w:rPr>
          <w:i/>
        </w:rPr>
        <w:instrText xml:space="preserve"> - Izvjestitelj: Bogdan </w:instrText>
      </w:r>
      <w:proofErr w:type="spellStart"/>
      <w:r w:rsidRPr="003B6257">
        <w:rPr>
          <w:i/>
        </w:rPr>
        <w:instrText>Andrzej</w:instrText>
      </w:r>
      <w:proofErr w:type="spellEnd"/>
      <w:r w:rsidRPr="003B6257">
        <w:rPr>
          <w:i/>
        </w:rPr>
        <w:instrText xml:space="preserve"> </w:instrText>
      </w:r>
      <w:proofErr w:type="spellStart"/>
      <w:r w:rsidRPr="003B6257">
        <w:rPr>
          <w:i/>
        </w:rPr>
        <w:instrText>Zdrojewski</w:instrText>
      </w:r>
      <w:proofErr w:type="spellEnd"/>
      <w:r w:rsidRPr="003B6257">
        <w:rPr>
          <w:i/>
        </w:rPr>
        <w:instrText xml:space="preserve">)"\l3 \n&gt; \* MERGEFORMAT </w:instrText>
      </w:r>
      <w:r w:rsidRPr="003B6257">
        <w:rPr>
          <w:i/>
        </w:rPr>
        <w:fldChar w:fldCharType="end"/>
      </w:r>
    </w:p>
    <w:p w14:paraId="5F68C50D" w14:textId="77777777" w:rsidR="007853F8" w:rsidRPr="003B6257" w:rsidRDefault="007853F8" w:rsidP="007853F8">
      <w:pPr>
        <w:rPr>
          <w:vanish/>
        </w:rPr>
      </w:pPr>
      <w:bookmarkStart w:id="3" w:name="Commission"/>
      <w:r w:rsidRPr="003B6257">
        <w:rPr>
          <w:vanish/>
        </w:rPr>
        <w:t>Odbor za kulturu i obrazovanje</w:t>
      </w:r>
      <w:bookmarkEnd w:id="3"/>
    </w:p>
    <w:p w14:paraId="515C72D7" w14:textId="77777777" w:rsidR="007853F8" w:rsidRPr="003B6257" w:rsidRDefault="007853F8" w:rsidP="007853F8">
      <w:pPr>
        <w:rPr>
          <w:vanish/>
        </w:rPr>
      </w:pPr>
      <w:bookmarkStart w:id="4" w:name="PE"/>
      <w:r w:rsidRPr="003B6257">
        <w:rPr>
          <w:vanish/>
        </w:rPr>
        <w:t>PE772.146</w:t>
      </w:r>
      <w:bookmarkEnd w:id="4"/>
    </w:p>
    <w:p w14:paraId="62AE8A41" w14:textId="07473738" w:rsidR="007853F8" w:rsidRPr="003B6257" w:rsidRDefault="007853F8" w:rsidP="007853F8">
      <w:pPr>
        <w:pStyle w:val="ATHeading3"/>
      </w:pPr>
      <w:bookmarkStart w:id="5" w:name="Sujet"/>
      <w:r w:rsidRPr="003B6257">
        <w:t>Rezolucija Europskog parlamenta od</w:t>
      </w:r>
      <w:r w:rsidR="003B6257">
        <w:t xml:space="preserve"> 7</w:t>
      </w:r>
      <w:r w:rsidRPr="003B6257">
        <w:t xml:space="preserve">. </w:t>
      </w:r>
      <w:r w:rsidR="003B6257">
        <w:t xml:space="preserve">listopada </w:t>
      </w:r>
      <w:r w:rsidRPr="003B6257">
        <w:t>2025. o ulozi politika EU-a u oblikovanju europskog modela sporta</w:t>
      </w:r>
      <w:bookmarkEnd w:id="5"/>
      <w:r w:rsidRPr="003B6257">
        <w:t xml:space="preserve"> </w:t>
      </w:r>
      <w:bookmarkStart w:id="6" w:name="References"/>
      <w:r w:rsidRPr="003B6257">
        <w:t>(2025/2035(INI))</w:t>
      </w:r>
      <w:bookmarkEnd w:id="6"/>
    </w:p>
    <w:p w14:paraId="56359FD3" w14:textId="77777777" w:rsidR="00D55AD6" w:rsidRPr="003B6257" w:rsidRDefault="00D55AD6" w:rsidP="00D55AD6">
      <w:pPr>
        <w:pStyle w:val="EPComma"/>
        <w:rPr>
          <w:lang w:val="hr-HR"/>
        </w:rPr>
      </w:pPr>
      <w:r w:rsidRPr="003B6257">
        <w:rPr>
          <w:rStyle w:val="Italic"/>
          <w:lang w:val="hr-HR"/>
        </w:rPr>
        <w:t>Europski parlament</w:t>
      </w:r>
      <w:r w:rsidRPr="003B6257">
        <w:rPr>
          <w:lang w:val="hr-HR"/>
        </w:rPr>
        <w:t>,</w:t>
      </w:r>
    </w:p>
    <w:p w14:paraId="624149F4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Ugovor o funkcioniranju Europske unije, a posebno njegove članke 6. i 165., kojima se utvrđuju nadležnosti i djelovanja Unije u području sporta, posebno promicanje europskih sportskih pitanja, uzimajući u obzir posebnu prirodu sporta, njegove strukture koje se temelje na dobrovoljnim aktivnostima te njegovu društvenu i obrazovnu funkciju, te njegove članke 26. i 114., kojima se utvrđuju nadležnosti Unije u pogledu njegova unutarnjeg tržišta,</w:t>
      </w:r>
    </w:p>
    <w:p w14:paraId="7DBF007C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Uredbu (EU) 2021/817 Europskog parlamenta i Vijeća od 20. svibnja 2021. o uspostavi programa Erasmus+: program Unije za obrazovanje i osposobljavanje, mlade i sport te o stavljanju izvan snage Uredbe (EU) br. 1288/2013</w:t>
      </w:r>
      <w:r w:rsidRPr="003B6257">
        <w:rPr>
          <w:rStyle w:val="FootnoteReference"/>
          <w:lang w:val="hr-HR"/>
        </w:rPr>
        <w:footnoteReference w:id="1"/>
      </w:r>
      <w:r w:rsidRPr="003B6257">
        <w:rPr>
          <w:lang w:val="hr-HR"/>
        </w:rPr>
        <w:t>, a posebno njezino poglavlje IV. o sportu,</w:t>
      </w:r>
    </w:p>
    <w:p w14:paraId="23829600" w14:textId="378032FF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komunikaciju Komisije od 11. srpnja 2007. naslovljenu „Bijela knjiga o sportu” (COM(2007)0391),</w:t>
      </w:r>
    </w:p>
    <w:p w14:paraId="63C148B4" w14:textId="157B1B92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komunikaciju Komisije od 18. siječnja 2011. pod nazivom „Razvoj europske dimenzije u sportu” (COM(2011)0012),</w:t>
      </w:r>
    </w:p>
    <w:p w14:paraId="090EFEE8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svoju Rezoluciju od 2. veljače 2012. o europskoj dimenziji u sportu</w:t>
      </w:r>
      <w:r w:rsidRPr="003B6257">
        <w:rPr>
          <w:rStyle w:val="FootnoteReference"/>
          <w:lang w:val="hr-HR"/>
        </w:rPr>
        <w:footnoteReference w:id="2"/>
      </w:r>
      <w:r w:rsidRPr="003B6257">
        <w:rPr>
          <w:lang w:val="hr-HR"/>
        </w:rPr>
        <w:t>;</w:t>
      </w:r>
    </w:p>
    <w:p w14:paraId="1F55B1C5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obzir svoju Rezoluciju od 14. ožujka 2013. o namještanju utakmica i korupciji u sportu</w:t>
      </w:r>
      <w:r w:rsidRPr="003B6257">
        <w:rPr>
          <w:rStyle w:val="FootnoteReference"/>
          <w:lang w:val="hr-HR"/>
        </w:rPr>
        <w:footnoteReference w:id="3"/>
      </w:r>
      <w:r w:rsidRPr="003B6257">
        <w:rPr>
          <w:lang w:val="hr-HR"/>
        </w:rPr>
        <w:t>,</w:t>
      </w:r>
    </w:p>
    <w:p w14:paraId="3591A1D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lastRenderedPageBreak/>
        <w:t>–</w:t>
      </w:r>
      <w:r w:rsidRPr="003B6257">
        <w:rPr>
          <w:lang w:val="hr-HR"/>
        </w:rPr>
        <w:tab/>
        <w:t>uzimajući u obzir svoju Rezoluciju od 2. veljače 2017. o cjelovitom pristupu sportskoj politici: dobro upravljanje, dostupnost i integritet</w:t>
      </w:r>
      <w:r w:rsidRPr="003B6257">
        <w:rPr>
          <w:rStyle w:val="FootnoteReference"/>
          <w:lang w:val="hr-HR"/>
        </w:rPr>
        <w:footnoteReference w:id="4"/>
      </w:r>
      <w:r w:rsidRPr="003B6257">
        <w:rPr>
          <w:lang w:val="hr-HR"/>
        </w:rPr>
        <w:t>,</w:t>
      </w:r>
    </w:p>
    <w:p w14:paraId="2EFA95B0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svoju Rezoluciju od 19. svibnja 2021. s preporukama Komisiji o izazovima organizatora sportskih događanja u digitalnom okruženju</w:t>
      </w:r>
      <w:r w:rsidRPr="003B6257">
        <w:rPr>
          <w:rStyle w:val="FootnoteReference"/>
          <w:lang w:val="hr-HR"/>
        </w:rPr>
        <w:footnoteReference w:id="5"/>
      </w:r>
      <w:r w:rsidRPr="003B6257">
        <w:rPr>
          <w:lang w:val="hr-HR"/>
        </w:rPr>
        <w:t>,</w:t>
      </w:r>
    </w:p>
    <w:p w14:paraId="5E4D5FF2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svoju Rezoluciju od 23. studenoga 2021. o politici EU-a u pogledu sporta: ocjena i mogući putevi naprijed</w:t>
      </w:r>
      <w:r w:rsidRPr="003B6257">
        <w:rPr>
          <w:rStyle w:val="FootnoteReference"/>
          <w:lang w:val="hr-HR"/>
        </w:rPr>
        <w:footnoteReference w:id="6"/>
      </w:r>
      <w:r w:rsidRPr="003B6257">
        <w:rPr>
          <w:lang w:val="hr-HR"/>
        </w:rPr>
        <w:t>,</w:t>
      </w:r>
    </w:p>
    <w:p w14:paraId="5966AD0A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studiju koju je zatražio Odbor za kulturu i obrazovanje naslovljenu „Sportska politika EU-a: ocjena i mogući putevi naprijed”, koju je u lipnju 2001. objavila Glavna uprava za unutarnju politiku</w:t>
      </w:r>
      <w:r w:rsidRPr="003B6257">
        <w:rPr>
          <w:rStyle w:val="FootnoteReference"/>
          <w:lang w:val="hr-HR"/>
        </w:rPr>
        <w:footnoteReference w:id="7"/>
      </w:r>
      <w:r w:rsidRPr="003B6257">
        <w:rPr>
          <w:lang w:val="hr-HR"/>
        </w:rPr>
        <w:t>,</w:t>
      </w:r>
    </w:p>
    <w:p w14:paraId="5309489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studiju Komisije naslovljenu „Studija o europskom modelu sporta”, objavljenu u travnju 2022.</w:t>
      </w:r>
      <w:r w:rsidRPr="003B6257">
        <w:rPr>
          <w:rStyle w:val="FootnoteReference"/>
          <w:lang w:val="hr-HR"/>
        </w:rPr>
        <w:footnoteReference w:id="8"/>
      </w:r>
      <w:r w:rsidRPr="003B6257">
        <w:rPr>
          <w:lang w:val="hr-HR"/>
        </w:rPr>
        <w:t>,</w:t>
      </w:r>
    </w:p>
    <w:p w14:paraId="2632177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Rezoluciju od 3. lipnja 2024. Vijeća i predstavnika vlada država članica, koji su se sastali unutar Vijeća, o planu rada Europske unije u području sporta (1. srpnja 2024. – 31. prosinca 2027.)</w:t>
      </w:r>
      <w:r w:rsidRPr="003B6257">
        <w:rPr>
          <w:rStyle w:val="FootnoteReference"/>
          <w:lang w:val="hr-HR"/>
        </w:rPr>
        <w:footnoteReference w:id="9"/>
      </w:r>
      <w:r w:rsidRPr="003B6257">
        <w:rPr>
          <w:lang w:val="hr-HR"/>
        </w:rPr>
        <w:t>,</w:t>
      </w:r>
    </w:p>
    <w:p w14:paraId="6ABB889F" w14:textId="1C70F7C9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izvješće Komisije od 14. veljače 2024. o provedbi i relevantnosti plana rada Europske unije u području sporta za razdoblje 2021. – 2024. i Preporuku o međusektorskom promicanju tjelesne aktivnosti korisne za zdravlje (COM(2024)0073),</w:t>
      </w:r>
    </w:p>
    <w:p w14:paraId="37752BC8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Konvenciju Vijeća Europe o namještanju rezultata sportskih natjecanja (Konvencija iz Macolina), potpisanu 18. rujna 2014.,</w:t>
      </w:r>
    </w:p>
    <w:p w14:paraId="251D605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revidiranu Europsku povelju o sportu, koju je Vijeće Europe usvojilo 13. listopada 2021.,</w:t>
      </w:r>
    </w:p>
    <w:p w14:paraId="7305A46C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Međunarodnu povelju Organizacije UN-a za obrazovanje, znanost i kulturu (UNESCO) o tjelesnom odgoju, tjelesnoj aktivnosti i sportu iz 2015.,</w:t>
      </w:r>
    </w:p>
    <w:p w14:paraId="3A81B3A1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 xml:space="preserve">uzimajući u obzir nedavne presude Suda EU-a koje se odnose na sport, uključujući predmete C-124/21 P, </w:t>
      </w:r>
      <w:r w:rsidRPr="003B6257">
        <w:rPr>
          <w:rStyle w:val="Italic"/>
          <w:lang w:val="hr-HR"/>
        </w:rPr>
        <w:t>International Skating Union</w:t>
      </w:r>
      <w:r w:rsidRPr="003B6257">
        <w:rPr>
          <w:lang w:val="hr-HR"/>
        </w:rPr>
        <w:t>/</w:t>
      </w:r>
      <w:r w:rsidRPr="003B6257">
        <w:rPr>
          <w:rStyle w:val="Italic"/>
          <w:lang w:val="hr-HR"/>
        </w:rPr>
        <w:t>Komisija</w:t>
      </w:r>
      <w:r w:rsidRPr="003B6257">
        <w:rPr>
          <w:rStyle w:val="FootnoteReference"/>
          <w:lang w:val="hr-HR"/>
        </w:rPr>
        <w:footnoteReference w:id="10"/>
      </w:r>
      <w:r w:rsidRPr="003B6257">
        <w:rPr>
          <w:lang w:val="hr-HR"/>
        </w:rPr>
        <w:t xml:space="preserve">, C-680/21, </w:t>
      </w:r>
      <w:r w:rsidRPr="003B6257">
        <w:rPr>
          <w:rStyle w:val="Italic"/>
          <w:lang w:val="hr-HR"/>
        </w:rPr>
        <w:t xml:space="preserve">Royal Antwerp </w:t>
      </w:r>
      <w:r w:rsidRPr="003B6257">
        <w:rPr>
          <w:rStyle w:val="Italic"/>
          <w:lang w:val="hr-HR"/>
        </w:rPr>
        <w:lastRenderedPageBreak/>
        <w:t>Football Club</w:t>
      </w:r>
      <w:r w:rsidRPr="003B6257">
        <w:rPr>
          <w:lang w:val="hr-HR"/>
        </w:rPr>
        <w:t>/</w:t>
      </w:r>
      <w:r w:rsidRPr="003B6257">
        <w:rPr>
          <w:rStyle w:val="Italic"/>
          <w:lang w:val="hr-HR"/>
        </w:rPr>
        <w:t>Union royale belge des sociétés de football association</w:t>
      </w:r>
      <w:r w:rsidRPr="003B6257">
        <w:rPr>
          <w:rStyle w:val="FootnoteReference"/>
          <w:lang w:val="hr-HR"/>
        </w:rPr>
        <w:footnoteReference w:id="11"/>
      </w:r>
      <w:r w:rsidRPr="003B6257">
        <w:rPr>
          <w:lang w:val="hr-HR"/>
        </w:rPr>
        <w:t xml:space="preserve">, C-333/21, </w:t>
      </w:r>
      <w:r w:rsidRPr="003B6257">
        <w:rPr>
          <w:rStyle w:val="Italic"/>
          <w:lang w:val="hr-HR"/>
        </w:rPr>
        <w:t>European Superleague Company</w:t>
      </w:r>
      <w:r w:rsidRPr="003B6257">
        <w:rPr>
          <w:lang w:val="hr-HR"/>
        </w:rPr>
        <w:t>/</w:t>
      </w:r>
      <w:r w:rsidRPr="003B6257">
        <w:rPr>
          <w:rStyle w:val="Italic"/>
          <w:lang w:val="hr-HR"/>
        </w:rPr>
        <w:t>FIFA i UEFA</w:t>
      </w:r>
      <w:r w:rsidRPr="003B6257">
        <w:rPr>
          <w:rStyle w:val="FootnoteReference"/>
          <w:lang w:val="hr-HR"/>
        </w:rPr>
        <w:footnoteReference w:id="12"/>
      </w:r>
      <w:r w:rsidRPr="003B6257">
        <w:rPr>
          <w:lang w:val="hr-HR"/>
        </w:rPr>
        <w:t xml:space="preserve"> te C-650/22, </w:t>
      </w:r>
      <w:r w:rsidRPr="003B6257">
        <w:rPr>
          <w:rStyle w:val="Italic"/>
          <w:lang w:val="hr-HR"/>
        </w:rPr>
        <w:t>FIFA</w:t>
      </w:r>
      <w:r w:rsidRPr="003B6257">
        <w:rPr>
          <w:lang w:val="hr-HR"/>
        </w:rPr>
        <w:t>/</w:t>
      </w:r>
      <w:r w:rsidRPr="003B6257">
        <w:rPr>
          <w:rStyle w:val="Italic"/>
          <w:lang w:val="hr-HR"/>
        </w:rPr>
        <w:t>BZ</w:t>
      </w:r>
      <w:r w:rsidRPr="003B6257">
        <w:rPr>
          <w:rStyle w:val="FootnoteReference"/>
          <w:lang w:val="hr-HR"/>
        </w:rPr>
        <w:footnoteReference w:id="13"/>
      </w:r>
      <w:r w:rsidRPr="003B6257">
        <w:rPr>
          <w:lang w:val="hr-HR"/>
        </w:rPr>
        <w:t>,</w:t>
      </w:r>
    </w:p>
    <w:p w14:paraId="1CD4ECA6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Rezoluciju Vijeća i predstavnika vlada država članica, koji su se sastali u okviru Vijeća, o ključnim značajkama europskog modela sporta, usvojenu 12. prosinca 2021.</w:t>
      </w:r>
      <w:r w:rsidRPr="003B6257">
        <w:rPr>
          <w:rStyle w:val="FootnoteReference"/>
          <w:lang w:val="hr-HR"/>
        </w:rPr>
        <w:footnoteReference w:id="14"/>
      </w:r>
      <w:r w:rsidRPr="003B6257">
        <w:rPr>
          <w:lang w:val="hr-HR"/>
        </w:rPr>
        <w:t>,</w:t>
      </w:r>
    </w:p>
    <w:p w14:paraId="2F8768E2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članak 55. Poslovnika,</w:t>
      </w:r>
    </w:p>
    <w:p w14:paraId="78CF7200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–</w:t>
      </w:r>
      <w:r w:rsidRPr="003B6257">
        <w:rPr>
          <w:lang w:val="hr-HR"/>
        </w:rPr>
        <w:tab/>
        <w:t>uzimajući u obzir izvješće Odbora za kulturu i obrazovanje (A10-0157/2025),</w:t>
      </w:r>
    </w:p>
    <w:p w14:paraId="49556A4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A.</w:t>
      </w:r>
      <w:r w:rsidRPr="003B6257">
        <w:rPr>
          <w:lang w:val="hr-HR"/>
        </w:rPr>
        <w:tab/>
        <w:t>budući da je sport europsko javno dobro i u Europi ima sve veću društvenu, gospodarsku, političku i kulturnu vrijednost;</w:t>
      </w:r>
    </w:p>
    <w:p w14:paraId="6CDAFE6E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B.</w:t>
      </w:r>
      <w:r w:rsidRPr="003B6257">
        <w:rPr>
          <w:lang w:val="hr-HR"/>
        </w:rPr>
        <w:tab/>
        <w:t>budući da sport i tjelesna aktivnost imaju važnu ulogu u životu ljudi jer povezuju zajednice i ljude te poboljšavaju zdravlje i dobrobit;</w:t>
      </w:r>
    </w:p>
    <w:p w14:paraId="285FBD98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C.</w:t>
      </w:r>
      <w:r w:rsidRPr="003B6257">
        <w:rPr>
          <w:lang w:val="hr-HR"/>
        </w:rPr>
        <w:tab/>
        <w:t>budući da sport i tjelesna aktivnost služe kao sredstva integracije i inkluzije te daju osjećaj pripadnosti zajednici, posebno za osobe s manje prilika;</w:t>
      </w:r>
    </w:p>
    <w:p w14:paraId="7BF93EF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D.</w:t>
      </w:r>
      <w:r w:rsidRPr="003B6257">
        <w:rPr>
          <w:lang w:val="hr-HR"/>
        </w:rPr>
        <w:tab/>
        <w:t>budući da sport i tjelesna aktivnost imaju ključnu ulogu u promicanju vrijednosti EU-a, kao što su demokracija, poštovanje, solidarnost, raznolikost i ravnopravnost;</w:t>
      </w:r>
    </w:p>
    <w:p w14:paraId="23F1864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E.</w:t>
      </w:r>
      <w:r w:rsidRPr="003B6257">
        <w:rPr>
          <w:lang w:val="hr-HR"/>
        </w:rPr>
        <w:tab/>
        <w:t>budući da se europski model sporta temelji na ključnim značajkama, kao što su načela solidarnosti, održivosti, integriteta, uključivosti, sportskih zasluga, teritorijalnosti i otvorenog natjecanja;</w:t>
      </w:r>
    </w:p>
    <w:p w14:paraId="03B88DFD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F.</w:t>
      </w:r>
      <w:r w:rsidRPr="003B6257">
        <w:rPr>
          <w:lang w:val="hr-HR"/>
        </w:rPr>
        <w:tab/>
        <w:t>budući da postoji potreba za održavanjem zdrave ravnoteže između natjecanja nacionalnih timova i natjecanja klubova;</w:t>
      </w:r>
    </w:p>
    <w:p w14:paraId="5A2BC7A0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G.</w:t>
      </w:r>
      <w:r w:rsidRPr="003B6257">
        <w:rPr>
          <w:lang w:val="hr-HR"/>
        </w:rPr>
        <w:tab/>
        <w:t>budući da europski model sporta obuhvaća profesionalni sport i sport na lokalnoj razini;</w:t>
      </w:r>
    </w:p>
    <w:p w14:paraId="5C961F1D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H.</w:t>
      </w:r>
      <w:r w:rsidRPr="003B6257">
        <w:rPr>
          <w:lang w:val="hr-HR"/>
        </w:rPr>
        <w:tab/>
        <w:t>budući da je sport pokretač kohezijske politike EU-a, posebno u ruralnim i udaljenim područjima u nepovoljnom položaju, koja nailaze na probleme zbog ograničenih sredstava, infrastrukture i smanjenja članstva;</w:t>
      </w:r>
    </w:p>
    <w:p w14:paraId="06347B26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I.</w:t>
      </w:r>
      <w:r w:rsidRPr="003B6257">
        <w:rPr>
          <w:lang w:val="hr-HR"/>
        </w:rPr>
        <w:tab/>
        <w:t>budući da se većina prihoda od sporta na lokalnoj razini temelji na plaćanjima građana, neplaćenom radu volontera, potpori lokalnih poduzeća i subvencijama općina;</w:t>
      </w:r>
    </w:p>
    <w:p w14:paraId="26650B9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J.</w:t>
      </w:r>
      <w:r w:rsidRPr="003B6257">
        <w:rPr>
          <w:lang w:val="hr-HR"/>
        </w:rPr>
        <w:tab/>
        <w:t>budući da europski model sporta obuhvaća razvoj ženskog sporta i promicanje rodne ravnopravnosti u sportu;</w:t>
      </w:r>
    </w:p>
    <w:p w14:paraId="0D7A6ED5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lastRenderedPageBreak/>
        <w:t>K.</w:t>
      </w:r>
      <w:r w:rsidRPr="003B6257">
        <w:rPr>
          <w:lang w:val="hr-HR"/>
        </w:rPr>
        <w:tab/>
        <w:t>budući da se bilježi zabrinjavajući pad broja volontera koji sudjeluju u sportu na lokalnoj razini;</w:t>
      </w:r>
    </w:p>
    <w:p w14:paraId="2CFAA61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L.</w:t>
      </w:r>
      <w:r w:rsidRPr="003B6257">
        <w:rPr>
          <w:lang w:val="hr-HR"/>
        </w:rPr>
        <w:tab/>
        <w:t>budući da se sportaši često suočavaju s nedovoljnom socijalnom zaštitom i sve većim intenzitetom u svojim sportskim rasporedima i kalendarima utakmica, kao i s izazovima kombiniranja obrazovanja i posla sa svojim sportskim karijerama;</w:t>
      </w:r>
    </w:p>
    <w:p w14:paraId="26C2897D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M.</w:t>
      </w:r>
      <w:r w:rsidRPr="003B6257">
        <w:rPr>
          <w:lang w:val="hr-HR"/>
        </w:rPr>
        <w:tab/>
        <w:t>budući da nedavne presude Suda Europske unije pružaju priliku da politika EU-a još poboljša europski model sporta;</w:t>
      </w:r>
    </w:p>
    <w:p w14:paraId="10213EAE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N.</w:t>
      </w:r>
      <w:r w:rsidRPr="003B6257">
        <w:rPr>
          <w:lang w:val="hr-HR"/>
        </w:rPr>
        <w:tab/>
        <w:t>budući da se sport suočava s brojnim izazovima, uključujući probleme povezane s upravljanjem, korupcijom, namještanjem utakmica, dopingom, internetskim piratstvom i diskriminacijom;</w:t>
      </w:r>
    </w:p>
    <w:p w14:paraId="666E4A8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O.</w:t>
      </w:r>
      <w:r w:rsidRPr="003B6257">
        <w:rPr>
          <w:lang w:val="hr-HR"/>
        </w:rPr>
        <w:tab/>
        <w:t>budući da bi se prihodi koje organizatori sportskih događanja gube zbog internetskog piratstva sportskih sadržaja koji se prenose uživo mogli ponovno uložiti u sportski ekosustav EU-a;</w:t>
      </w:r>
    </w:p>
    <w:p w14:paraId="302D715C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P.</w:t>
      </w:r>
      <w:r w:rsidRPr="003B6257">
        <w:rPr>
          <w:lang w:val="hr-HR"/>
        </w:rPr>
        <w:tab/>
        <w:t>budući da u pogledu vlasništva postoje novi trendovi koji se razvijaju, kao što su oni koji proizlaze iz stranih ulaganja i višestrukog vlasništva u sportu;</w:t>
      </w:r>
    </w:p>
    <w:p w14:paraId="5A62B43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Q.</w:t>
      </w:r>
      <w:r w:rsidRPr="003B6257">
        <w:rPr>
          <w:lang w:val="hr-HR"/>
        </w:rPr>
        <w:tab/>
        <w:t>budući da prijetnje prekomjerne komercijalizacije, isključivo profitnih modela vlasništva za zabavu i natjecanja ugrožavaju konkurentsku ravnotežu i integritet u profesionalnom sportu;</w:t>
      </w:r>
    </w:p>
    <w:p w14:paraId="17A92529" w14:textId="77777777" w:rsidR="00D55AD6" w:rsidRPr="003B6257" w:rsidRDefault="00D55AD6" w:rsidP="00D55AD6">
      <w:pPr>
        <w:pStyle w:val="Normal12a24b"/>
        <w:rPr>
          <w:lang w:val="hr-HR"/>
        </w:rPr>
      </w:pPr>
      <w:r w:rsidRPr="003B6257">
        <w:rPr>
          <w:rStyle w:val="BoldItalic"/>
          <w:lang w:val="hr-HR"/>
        </w:rPr>
        <w:t>Europski model sporta: za društvo i poticanje uključivosti</w:t>
      </w:r>
    </w:p>
    <w:p w14:paraId="4F0354AF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1.</w:t>
      </w:r>
      <w:r w:rsidRPr="003B6257">
        <w:rPr>
          <w:lang w:val="hr-HR"/>
        </w:rPr>
        <w:tab/>
        <w:t>ponovno ističe svoju nepokolebljivu predanost obrani europskog modela sporta u kojem se sportom i tjelesnom aktivnošću ostvaruju društveni ciljevi te se njima doprinosi u svim ključnim područjima politika EU-a;</w:t>
      </w:r>
    </w:p>
    <w:p w14:paraId="4DD49FA8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2.</w:t>
      </w:r>
      <w:r w:rsidRPr="003B6257">
        <w:rPr>
          <w:lang w:val="hr-HR"/>
        </w:rPr>
        <w:tab/>
        <w:t>uviđa potrebu za zaštitom europskog modela sporta, čime će se osigurati kontinuirani održivi razvoj sporta, od sporta i tjelesne aktivnosti na lokalnoj razini do razine profesionalnog sporta, te na regionalnoj, nacionalnoj i europskoj razini;</w:t>
      </w:r>
    </w:p>
    <w:p w14:paraId="70FDC0F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3.</w:t>
      </w:r>
      <w:r w:rsidRPr="003B6257">
        <w:rPr>
          <w:lang w:val="hr-HR"/>
        </w:rPr>
        <w:tab/>
        <w:t>naglašava potrebu za daljnjim razvojem europskog modela sporta u skladu s interesima građana, vrijednostima EU-a i političkim prioritetima, kao što su ravnopravnost, raznolikost, uključivost, održivost, zdravlje i dobrobit, europski socijalni model i konkurentnost EU-a;</w:t>
      </w:r>
    </w:p>
    <w:p w14:paraId="51E0311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4.</w:t>
      </w:r>
      <w:r w:rsidRPr="003B6257">
        <w:rPr>
          <w:lang w:val="hr-HR"/>
        </w:rPr>
        <w:tab/>
        <w:t>poziva sve dionike da pojačaju napore za promicanje sigurnog, uključivog i pravednog sporta dostupnoga svima, s naglaskom na promicanju rodne ravnopravnosti, borbi protiv svih oblika nasilja, diskriminacije i uznemiravanja te poboljšanju pristupačnosti sportske infrastrukture;</w:t>
      </w:r>
    </w:p>
    <w:p w14:paraId="20C7770D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5.</w:t>
      </w:r>
      <w:r w:rsidRPr="003B6257">
        <w:rPr>
          <w:lang w:val="hr-HR"/>
        </w:rPr>
        <w:tab/>
        <w:t>u tom pogledu naglašava da je potrebno osigurati uključenost osoba s invaliditetom u sve sportske kontekste, uključujući njihovo sudjelovanje u postupcima upravljanja i donošenja odluka;</w:t>
      </w:r>
    </w:p>
    <w:p w14:paraId="1F2EFCB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6.</w:t>
      </w:r>
      <w:r w:rsidRPr="003B6257">
        <w:rPr>
          <w:lang w:val="hr-HR"/>
        </w:rPr>
        <w:tab/>
        <w:t>ističe da se europski model sporta mora temeljiti na načelu sporta kao javnog dobra, osiguravajući da javno ulaganje u sport koristi društvu u obliku uključenosti, zdravlja, obrazovanja i socijalne kohezije;</w:t>
      </w:r>
    </w:p>
    <w:p w14:paraId="68A123BC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lastRenderedPageBreak/>
        <w:t>7.</w:t>
      </w:r>
      <w:r w:rsidRPr="003B6257">
        <w:rPr>
          <w:lang w:val="hr-HR"/>
        </w:rPr>
        <w:tab/>
        <w:t>ističe ključnu ulogu tjelesne aktivnosti za sve, bez obzira na dob, ističući njezine neposredne i dugoročne koristi za tjelesno i mentalno zdravlje, kao i njezin doprinos razvoju i održavanju društvenih i životnih vještina ljudi;</w:t>
      </w:r>
    </w:p>
    <w:p w14:paraId="08E4D2C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8.</w:t>
      </w:r>
      <w:r w:rsidRPr="003B6257">
        <w:rPr>
          <w:lang w:val="hr-HR"/>
        </w:rPr>
        <w:tab/>
        <w:t>naglašava važnost promicanja tjelesne aktivnosti među djecom i mladima, uključujući sudjelovanje sportaša i parasportaša kao uzora, te poziva na povećanje ulaganja u potrebnu školsku sportsku infrastrukturu, kvalitetan tjelesni odgoj i izvannastavne sportske programe;</w:t>
      </w:r>
    </w:p>
    <w:p w14:paraId="4D77740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9.</w:t>
      </w:r>
      <w:r w:rsidRPr="003B6257">
        <w:rPr>
          <w:lang w:val="hr-HR"/>
        </w:rPr>
        <w:tab/>
        <w:t>naglašava preventivnu ulogu sporta u rješavanju problema društvene izolacije, nasilja i radikalizacije mladih te ističe potrebu da ih se zaštiti od svih oblika zlostavljanja u sportu;</w:t>
      </w:r>
    </w:p>
    <w:p w14:paraId="7AAA6EC1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10.</w:t>
      </w:r>
      <w:r w:rsidRPr="003B6257">
        <w:rPr>
          <w:lang w:val="hr-HR"/>
        </w:rPr>
        <w:tab/>
        <w:t>ističe ključnu ulogu volontera u sportu i poziva Komisiju da zajedno s državama članicama izradi preporuke za potporu i poticanje volontiranja u sportu, uključujući smjernice za privlačenje, priznavanje i zadržavanje volontera u sportu, i za sport na lokalnoj razini i za profesionalni sport;</w:t>
      </w:r>
    </w:p>
    <w:p w14:paraId="7767CFE1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11.</w:t>
      </w:r>
      <w:r w:rsidRPr="003B6257">
        <w:rPr>
          <w:lang w:val="hr-HR"/>
        </w:rPr>
        <w:tab/>
        <w:t>uviđa da je sport na lokalnoj razini u Europi obilježen snažnim angažmanom civilnog društva s klubovima i udrugama ukorijenjenima u zajednici koji se temelji na volontiranju;</w:t>
      </w:r>
    </w:p>
    <w:p w14:paraId="649EEEFC" w14:textId="77777777" w:rsidR="00D55AD6" w:rsidRPr="003B6257" w:rsidRDefault="00D55AD6" w:rsidP="00D55AD6">
      <w:pPr>
        <w:pStyle w:val="Normal12a24b"/>
        <w:rPr>
          <w:lang w:val="hr-HR"/>
        </w:rPr>
      </w:pPr>
      <w:r w:rsidRPr="003B6257">
        <w:rPr>
          <w:rStyle w:val="BoldItalic"/>
          <w:lang w:val="hr-HR"/>
        </w:rPr>
        <w:t xml:space="preserve">Europski model sporta: za vrijednosti i solidarnost u EU-u </w:t>
      </w:r>
    </w:p>
    <w:p w14:paraId="40432A50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12.</w:t>
      </w:r>
      <w:r w:rsidRPr="003B6257">
        <w:rPr>
          <w:lang w:val="hr-HR"/>
        </w:rPr>
        <w:tab/>
        <w:t>naglašava temeljnu važnost načela solidarnosti kako bi se osiguralo da sport služi interesima i promiče interese svih, a ne dobiti nekolicine, te ponovno ističe da je potrebno učinkovitijim mehanizmima financijske solidarnosti jačati veze između profesionalnog sporta i sporta na lokalnoj razini kako bi se optimirao njegov razvoj;</w:t>
      </w:r>
    </w:p>
    <w:p w14:paraId="6BBB2710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13.</w:t>
      </w:r>
      <w:r w:rsidRPr="003B6257">
        <w:rPr>
          <w:lang w:val="hr-HR"/>
        </w:rPr>
        <w:tab/>
        <w:t>poziva Komisiju da potakne sportska upravljačka tijela na provedbu mehanizama i politika za razvoj mladih čiji je cilj nagrađivanje klubova za treniranje igrača koji doprinose trajnom uspjehu profesionalnih natjecanja, čime bi se osigurala dugoročna konkurentnost sportskog sektora;</w:t>
      </w:r>
    </w:p>
    <w:p w14:paraId="05D66F2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14.</w:t>
      </w:r>
      <w:r w:rsidRPr="003B6257">
        <w:rPr>
          <w:lang w:val="hr-HR"/>
        </w:rPr>
        <w:tab/>
        <w:t>poziva Komisiju da predstavi studiju u kojoj će prikazati postojeće mehanizme financijske solidarnosti i programe preraspodjele koji obuhvaćaju različite sportove i razine unutar EU-a te ih popratiti preporukama za njihov daljnji razvoj;</w:t>
      </w:r>
    </w:p>
    <w:p w14:paraId="0E72D2A9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15.</w:t>
      </w:r>
      <w:r w:rsidRPr="003B6257">
        <w:rPr>
          <w:lang w:val="hr-HR"/>
        </w:rPr>
        <w:tab/>
        <w:t>u tom pogledu poziva Komisiju da podrži pravnu sigurnost za sportska upravljačka tijela i istraži potrebu za mehanizmima preraspodjele između velikih i malih liga, klubova ili natjecanja te u različitim disciplinama, uključujući sport mladih;</w:t>
      </w:r>
    </w:p>
    <w:p w14:paraId="6608464E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16.</w:t>
      </w:r>
      <w:r w:rsidRPr="003B6257">
        <w:rPr>
          <w:lang w:val="hr-HR"/>
        </w:rPr>
        <w:tab/>
        <w:t>naglašava potrebu za znatnim povećanjem sredstava za sport i tjelesnu aktivnost, posebno u okviru programa Erasmus+ za razdoblje od 2028. do 2034., u skladu s postojećim horizontalnim prioritetima, te za poticanjem daljnjeg povezivanja drugih programa i fondova;</w:t>
      </w:r>
    </w:p>
    <w:p w14:paraId="667DFEE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17.</w:t>
      </w:r>
      <w:r w:rsidRPr="003B6257">
        <w:rPr>
          <w:lang w:val="hr-HR"/>
        </w:rPr>
        <w:tab/>
        <w:t>uviđa potencijalnu vodeću ulogu programa Erasmus+ u pružanju financijske potpore sportskim organizacijama na lokalnoj razini i pozitivan učinak programa na građane i društvo;</w:t>
      </w:r>
    </w:p>
    <w:p w14:paraId="0AA95C62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lastRenderedPageBreak/>
        <w:t>18.</w:t>
      </w:r>
      <w:r w:rsidRPr="003B6257">
        <w:rPr>
          <w:lang w:val="hr-HR"/>
        </w:rPr>
        <w:tab/>
        <w:t>poziva Komisiju da izradi pristupačne i opsežne programe financiranja za sportske klubove i organizacije s jasnim i pristupačnim mehanizmima kojima će se osigurati da izdvojena sredstva dopru do lokalne razine;</w:t>
      </w:r>
    </w:p>
    <w:p w14:paraId="1E49DB5E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19.</w:t>
      </w:r>
      <w:r w:rsidRPr="003B6257">
        <w:rPr>
          <w:lang w:val="hr-HR"/>
        </w:rPr>
        <w:tab/>
        <w:t>poziva Komisiju i države članice da podupru ulaganja u sigurnu i pristupačnu sportsku infrastrukturu na svim razinama putem fondova EU-a kao što je Europski fond za regionalni razvoj, s posebnim naglaskom na ruralnim i urbanim četvrtima u nepovoljnom položaju;</w:t>
      </w:r>
    </w:p>
    <w:p w14:paraId="12716EB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20.</w:t>
      </w:r>
      <w:r w:rsidRPr="003B6257">
        <w:rPr>
          <w:lang w:val="hr-HR"/>
        </w:rPr>
        <w:tab/>
        <w:t>smatra da su propisi o financijskoj održivosti ključni u sportu kako bi se osigurala dugoročna održivost i integritet profesionalnog sporta unutar EU-a; potiče Komisiju i države članice da promiču standarde dosljednog financijskog upravljanja u svim profesionalnim sportovima te naglašava potrebu za učinkovitom provedbom i ažuriranjem tih mjera, uključujući odgovarajući nadzor nad plaćama sportaša;</w:t>
      </w:r>
    </w:p>
    <w:p w14:paraId="24B1BDA6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21.</w:t>
      </w:r>
      <w:r w:rsidRPr="003B6257">
        <w:rPr>
          <w:lang w:val="hr-HR"/>
        </w:rPr>
        <w:tab/>
        <w:t>apelira na države članice da nastave ustrajati u tome da se dodjela prava organiziranja velikih sportskih događanja temelji na zaslugama i da organizatori i sponzori poštuju vrijednosti europskog modela sporta, uključujući ljudska prava, demokratske vrijednosti i održivost;</w:t>
      </w:r>
    </w:p>
    <w:p w14:paraId="51C5483E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22.</w:t>
      </w:r>
      <w:r w:rsidRPr="003B6257">
        <w:rPr>
          <w:lang w:val="hr-HR"/>
        </w:rPr>
        <w:tab/>
        <w:t>poziva Komisiju i države članice da potiču odgovornost za okoliš i prilagodbu klimatskim promjenama u sportu, uključujući održivu opremu i upravljanje sportskom infrastrukturom, organizaciju događanja uz odgovornost za razine ugljika i obrazovanje o okolišu putem sporta;</w:t>
      </w:r>
    </w:p>
    <w:p w14:paraId="1871628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23.</w:t>
      </w:r>
      <w:r w:rsidRPr="003B6257">
        <w:rPr>
          <w:lang w:val="hr-HR"/>
        </w:rPr>
        <w:tab/>
        <w:t>prima na znanje rastući trend stranih ulaganja i vlasništva u europskom sportu te poziva Komisiju da uzme u obzir utjecaj toga trenda pri podupiranju napora za očuvanje financijskog integriteta i konkurentne ravnoteže europskog sporta;</w:t>
      </w:r>
    </w:p>
    <w:p w14:paraId="50DE372D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24.</w:t>
      </w:r>
      <w:r w:rsidRPr="003B6257">
        <w:rPr>
          <w:lang w:val="hr-HR"/>
        </w:rPr>
        <w:tab/>
        <w:t>uviđa rizike organiziranog i financijskog kriminala u sportu i smatra da se mora zajamčiti stroga dubinska analiza ulaganja i vlasništva u europskom sportu, među ostalim proširenjem okvira EU-a za sprečavanje pranja novca kako bi se obuhvatio profesionalni sport;</w:t>
      </w:r>
    </w:p>
    <w:p w14:paraId="77F79A87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25.</w:t>
      </w:r>
      <w:r w:rsidRPr="003B6257">
        <w:rPr>
          <w:lang w:val="hr-HR"/>
        </w:rPr>
        <w:tab/>
        <w:t>osuđuje sve oblike namještanja utakmica, koje ugrožava integritet i poštenu igru, te poziva države članice i sportska tijela da ojačaju preventivne mjere pojačanim praćenjem, obrazovnim kampanjama i suradnjom s tijelima kaznenog progona;</w:t>
      </w:r>
    </w:p>
    <w:p w14:paraId="70F01D6F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26.</w:t>
      </w:r>
      <w:r w:rsidRPr="003B6257">
        <w:rPr>
          <w:lang w:val="hr-HR"/>
        </w:rPr>
        <w:tab/>
        <w:t>potiče Vijeće da prekine zastoj u potpisivanju i ratifikaciji Konvencije Vijeća Europe o manipulaciji sportskim natjecanjima;</w:t>
      </w:r>
    </w:p>
    <w:p w14:paraId="46A616D9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27.</w:t>
      </w:r>
      <w:r w:rsidRPr="003B6257">
        <w:rPr>
          <w:lang w:val="hr-HR"/>
        </w:rPr>
        <w:tab/>
        <w:t>ističe da je na razini EU-a potrebno riješiti sve veći problem dopinga na svim razinama sporta s pomoću obrazovnih kampanja i kampanja podizanja razine osviještenosti;</w:t>
      </w:r>
    </w:p>
    <w:p w14:paraId="6CC74F7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28.</w:t>
      </w:r>
      <w:r w:rsidRPr="003B6257">
        <w:rPr>
          <w:lang w:val="hr-HR"/>
        </w:rPr>
        <w:tab/>
        <w:t>potiče Komisiju i države članice da pojačaju mjere protiv internetskog piratstva i poziva Komisiju da iznese prijedlog ciljanog zakonodavstva za rješavanje problema internetskog piratstva sportskih i drugih sadržaja koji se prenose uživo, među ostalim jačanjem mehanizama digitalne provedbe, primjenom obveza poznavanja svojeg poslovnog klijenta, promicanjem suradnje s internetskim platformama i podizanjem razine osviještenosti među potrošačima;</w:t>
      </w:r>
    </w:p>
    <w:p w14:paraId="35411AE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lastRenderedPageBreak/>
        <w:t>29.</w:t>
      </w:r>
      <w:r w:rsidRPr="003B6257">
        <w:rPr>
          <w:lang w:val="hr-HR"/>
        </w:rPr>
        <w:tab/>
        <w:t>ističe porast dinamičnog određivanja cijena karata, što može otežati pristupačnost sportskih događanja u Europi, te poziva na pomno praćenje usklađenosti sudionika na tržištu sa zakonodavstvom EU-a;</w:t>
      </w:r>
    </w:p>
    <w:p w14:paraId="1DB27F51" w14:textId="77777777" w:rsidR="00D55AD6" w:rsidRPr="003B6257" w:rsidRDefault="00D55AD6" w:rsidP="00D55AD6">
      <w:pPr>
        <w:pStyle w:val="Normal12a24b"/>
        <w:rPr>
          <w:lang w:val="hr-HR"/>
        </w:rPr>
      </w:pPr>
      <w:r w:rsidRPr="003B6257">
        <w:rPr>
          <w:rStyle w:val="BoldItalic"/>
          <w:lang w:val="hr-HR"/>
        </w:rPr>
        <w:t xml:space="preserve">Europski model sporta: za promicanje kolektivnog upravljanja, prava sportaša i navijača </w:t>
      </w:r>
    </w:p>
    <w:p w14:paraId="63CB070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30.</w:t>
      </w:r>
      <w:r w:rsidRPr="003B6257">
        <w:rPr>
          <w:lang w:val="hr-HR"/>
        </w:rPr>
        <w:tab/>
        <w:t>uviđa da je autonomija sporta uvjetovana dobrim upravljanjem te poziva međunarodne, europske i nacionalne sportske organizacije te predstavničke organizacije dionika da primjenjuju najviše standarde upravljanja, integriteta i transparentnosti uz odgovarajući sustav provjere i ravnoteže radi osiguravanja snošenja odgovornosti;</w:t>
      </w:r>
    </w:p>
    <w:p w14:paraId="7ED8EDF4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31.</w:t>
      </w:r>
      <w:r w:rsidRPr="003B6257">
        <w:rPr>
          <w:lang w:val="hr-HR"/>
        </w:rPr>
        <w:tab/>
        <w:t>poziva Komisiju da preispita učinkovitost i dosljednost aktualnih mjera EU-a u tim područjima te da razvije ciljane mjere i odgovore politika kako bi se riješili ustrajni izazovi;</w:t>
      </w:r>
    </w:p>
    <w:p w14:paraId="632DB11C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32.</w:t>
      </w:r>
      <w:r w:rsidRPr="003B6257">
        <w:rPr>
          <w:lang w:val="hr-HR"/>
        </w:rPr>
        <w:tab/>
        <w:t>traži pristup temeljen na suradnji između sportskih organizacija i javnih tijela kako bi se poštovali ti standardi i osiguralo da sport ostane pouzdan, siguran i etički prostor za sve sudionike;</w:t>
      </w:r>
    </w:p>
    <w:p w14:paraId="6AF06898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33.</w:t>
      </w:r>
      <w:r w:rsidRPr="003B6257">
        <w:rPr>
          <w:lang w:val="hr-HR"/>
        </w:rPr>
        <w:tab/>
        <w:t>naglašava da je važno osigurati da sve institucije, sportska upravljačka tijela i dionici poštuju načela utvrđena u sudskoj praksi Suda EU-a u području sporta;</w:t>
      </w:r>
    </w:p>
    <w:p w14:paraId="23E97EDD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34.</w:t>
      </w:r>
      <w:r w:rsidRPr="003B6257">
        <w:rPr>
          <w:lang w:val="hr-HR"/>
        </w:rPr>
        <w:tab/>
        <w:t>pozdravlja napore upravljačkih tijela u pogledu kolektivnog upravljanja i potiče ih da poduzmu daljnje korake za jačanje zastupljenosti dionika u donošenju odluka, s posebnom predanošću uključivanju sportaša i navijača;</w:t>
      </w:r>
    </w:p>
    <w:p w14:paraId="4FB4B0A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35.</w:t>
      </w:r>
      <w:r w:rsidRPr="003B6257">
        <w:rPr>
          <w:lang w:val="hr-HR"/>
        </w:rPr>
        <w:tab/>
        <w:t>potiče sportska upravljačka tijela da provedu daljnje mjere za ravnopravnost, raznolikost i uključivost, posebno kako bi se riješio problem nedovoljne zastupljenosti žena i manjina na vodećim položajima;</w:t>
      </w:r>
    </w:p>
    <w:p w14:paraId="61E93A9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36.</w:t>
      </w:r>
      <w:r w:rsidRPr="003B6257">
        <w:rPr>
          <w:lang w:val="hr-HR"/>
        </w:rPr>
        <w:tab/>
        <w:t>naglašava potrebu za standardima i provjerama reprezentativnosti kao preduvjeta za uključivanje organizacija dionika u procese upravljanja;</w:t>
      </w:r>
    </w:p>
    <w:p w14:paraId="4B78FFAE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37.</w:t>
      </w:r>
      <w:r w:rsidRPr="003B6257">
        <w:rPr>
          <w:lang w:val="hr-HR"/>
        </w:rPr>
        <w:tab/>
        <w:t>poziva Komisiju da promiče socijalni dijalog u sportu kao ključni postupak donošenja odluka u skladu s načelima dobrog upravljanja te da poboljša reprezentativnost i uključivost sporta;</w:t>
      </w:r>
    </w:p>
    <w:p w14:paraId="7BF58DB9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38.</w:t>
      </w:r>
      <w:r w:rsidRPr="003B6257">
        <w:rPr>
          <w:lang w:val="hr-HR"/>
        </w:rPr>
        <w:tab/>
        <w:t>predlaže da se Komisija savjetuje s relevantnim dionicima o osnivanju Odbora EU-a za socijalni dijalog u području profesionalnog sporta;</w:t>
      </w:r>
    </w:p>
    <w:p w14:paraId="164AF868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39.</w:t>
      </w:r>
      <w:r w:rsidRPr="003B6257">
        <w:rPr>
          <w:lang w:val="hr-HR"/>
        </w:rPr>
        <w:tab/>
        <w:t>traži od institucija EU-a da štite i promiču temeljna prava sportaša i drugih radnika u sportskom sektoru, uključujući socijalna prava i zaštitu, kao što su sloboda udruživanja, kolektivno pregovaranje, nediskriminacija, pristojni radni uvjeti, sigurnosne mjere te zdravlje na radu, posebno u pogledu trudnoće i rodiljnog dopusta, a države članice da ih provode;</w:t>
      </w:r>
    </w:p>
    <w:p w14:paraId="55286D8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40.</w:t>
      </w:r>
      <w:r w:rsidRPr="003B6257">
        <w:rPr>
          <w:lang w:val="hr-HR"/>
        </w:rPr>
        <w:tab/>
        <w:t>ističe potrebu za proaktivnim upravljanjem rizicima u razvoju i nadzoru politika sigurnosti i zdravlja na radu, uključujući čimbenike kao što su putovanja, kalendari utakmica i natjecanja koja se preklapaju;</w:t>
      </w:r>
    </w:p>
    <w:p w14:paraId="0AFF5D71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41.</w:t>
      </w:r>
      <w:r w:rsidRPr="003B6257">
        <w:rPr>
          <w:lang w:val="hr-HR"/>
        </w:rPr>
        <w:tab/>
        <w:t xml:space="preserve">traži od institucija EU-a i država članica da u partnerstvu s relevantnim organizacijama kao što su povjerenstva i udruge sportaša dodatno podrže inicijative povezane s </w:t>
      </w:r>
      <w:r w:rsidRPr="003B6257">
        <w:rPr>
          <w:lang w:val="hr-HR"/>
        </w:rPr>
        <w:lastRenderedPageBreak/>
        <w:t>dvojnom karijerom, cjeloživotnim učenjem, razdobljem nakon umirovljenja, osobnim razvojem i mentalnim zdravljem sportaša;</w:t>
      </w:r>
    </w:p>
    <w:p w14:paraId="01B079C4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42.</w:t>
      </w:r>
      <w:r w:rsidRPr="003B6257">
        <w:rPr>
          <w:lang w:val="hr-HR"/>
        </w:rPr>
        <w:tab/>
        <w:t>naglašava da su sportski kalendari postali intenzivniji zbog povećanja broja europskih i međunarodnih utakmica i natjecanja te poziva na uključivanje svih dionika u postupke donošenja odluka o kalendaru kako bi se izbjegla preklapanja;</w:t>
      </w:r>
    </w:p>
    <w:p w14:paraId="6A3C1324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43.</w:t>
      </w:r>
      <w:r w:rsidRPr="003B6257">
        <w:rPr>
          <w:lang w:val="hr-HR"/>
        </w:rPr>
        <w:tab/>
        <w:t>podupire pravo sportaša da slobodno predstavljaju svoje zemlje i ističe da bi klubovi trebali biti dužni pustiti sportaše da sudjeluju u nacionalnim timovima;</w:t>
      </w:r>
    </w:p>
    <w:p w14:paraId="1DB73C1A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44.</w:t>
      </w:r>
      <w:r w:rsidRPr="003B6257">
        <w:rPr>
          <w:lang w:val="hr-HR"/>
        </w:rPr>
        <w:tab/>
        <w:t>poziva sportska upravljačka tijela da spriječe da se utakmice domaćih natjecanja održavaju u inozemstvu;</w:t>
      </w:r>
    </w:p>
    <w:p w14:paraId="19896AC5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45.</w:t>
      </w:r>
      <w:r w:rsidRPr="003B6257">
        <w:rPr>
          <w:lang w:val="hr-HR"/>
        </w:rPr>
        <w:tab/>
        <w:t>uviđa važnost međunarodnih tijela u osiguravanju transparentnog i pravednog sustava transfera u skladu s pravom EU-a i europskim specifičnostima te traži da se stavi snažan naglasak na zaštitu prava sportaša u svim sportovima, s posebnim naglaskom na maloljetnicima;</w:t>
      </w:r>
    </w:p>
    <w:p w14:paraId="47D1B952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46.</w:t>
      </w:r>
      <w:r w:rsidRPr="003B6257">
        <w:rPr>
          <w:lang w:val="hr-HR"/>
        </w:rPr>
        <w:tab/>
        <w:t>skreće pozornost na istaknutu ulogu sportskih agenata ili posrednika i na neuravnotežen odnos koji može postojati između njih i mladih sportaša te naglašava da je potreban pristup utemeljen na pravilima;</w:t>
      </w:r>
    </w:p>
    <w:p w14:paraId="53BF49A4" w14:textId="77777777" w:rsidR="00D55AD6" w:rsidRPr="003B6257" w:rsidRDefault="00D55AD6" w:rsidP="00D55AD6">
      <w:pPr>
        <w:pStyle w:val="Normal12a24b"/>
        <w:rPr>
          <w:lang w:val="hr-HR"/>
        </w:rPr>
      </w:pPr>
      <w:r w:rsidRPr="003B6257">
        <w:rPr>
          <w:rStyle w:val="BoldItalic"/>
          <w:lang w:val="hr-HR"/>
        </w:rPr>
        <w:t xml:space="preserve">Europski model sporta: kako politika EU-a može osnažiti i zaštititi </w:t>
      </w:r>
    </w:p>
    <w:p w14:paraId="6C790406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47.</w:t>
      </w:r>
      <w:r w:rsidRPr="003B6257">
        <w:rPr>
          <w:lang w:val="hr-HR"/>
        </w:rPr>
        <w:tab/>
        <w:t>poziva Komisiju da predstavi dugoročnu strategiju za politiku sporta i tjelesne aktivnosti kao odgovor na snažan politički poticaj država članica i institucija EU-a, s naglaskom na ključnim značajkama europskog modela sporta, te da predloži konkretne mjere u tom pogledu;</w:t>
      </w:r>
    </w:p>
    <w:p w14:paraId="799C4626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48.</w:t>
      </w:r>
      <w:r w:rsidRPr="003B6257">
        <w:rPr>
          <w:lang w:val="hr-HR"/>
        </w:rPr>
        <w:tab/>
        <w:t>podržava postojeći dijalog o sportskoj politici i poziva Komisiju da osigura aktivno sudjelovanje u raspravama na razini EU-a te na nacionalnoj i lokalnoj razini, uz uključivanje svih relevantnih dionika u oblikovanje dugoročnih strategija;</w:t>
      </w:r>
    </w:p>
    <w:p w14:paraId="7B3C1643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49.</w:t>
      </w:r>
      <w:r w:rsidRPr="003B6257">
        <w:rPr>
          <w:lang w:val="hr-HR"/>
        </w:rPr>
        <w:tab/>
        <w:t>poziva Komisiju i države članice da podrže prikupljanje podataka i donošenje politika na temelju dokaza kako bi se ojačala uloga sporta kao doprinosa ciljevima politike EU-a;</w:t>
      </w:r>
    </w:p>
    <w:p w14:paraId="4B2F0F49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50.</w:t>
      </w:r>
      <w:r w:rsidRPr="003B6257">
        <w:rPr>
          <w:lang w:val="hr-HR"/>
        </w:rPr>
        <w:tab/>
        <w:t>poziva Komisiju da ispuni svoju ulogu čuvarice Ugovora u jednom od najvažnijih socijalnih i gospodarskih sektora EU-a aktivnim praćenjem i rješavanjem prijetnji, na svim razinama, europskom modelu sporta utemeljenom na vrijednostima, uključujući odcijepljena natjecanja koja ugrožavaju cjelokupni sportski ekosustav;</w:t>
      </w:r>
    </w:p>
    <w:p w14:paraId="676A429A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51.</w:t>
      </w:r>
      <w:r w:rsidRPr="003B6257">
        <w:rPr>
          <w:lang w:val="hr-HR"/>
        </w:rPr>
        <w:tab/>
        <w:t>potiče Komisiju da upotrijebi sve odgovarajuće alate koji su joj na raspolaganju kako bi zaštitila europski sportski sektor od svih inicijativa usmjerenih na njegovo slabljenje i preusmjeravanje vrijednosti koju stvara izvan Europe;</w:t>
      </w:r>
    </w:p>
    <w:p w14:paraId="7289FB0A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52.</w:t>
      </w:r>
      <w:r w:rsidRPr="003B6257">
        <w:rPr>
          <w:lang w:val="hr-HR"/>
        </w:rPr>
        <w:tab/>
        <w:t>ponovno potvrđuje specifičnu prirodu sporta uz istodobno poštovanje prava EU-a i uviđa da ne postoji univerzalni način primjene europskog modela sporta u različitim sportovima;</w:t>
      </w:r>
    </w:p>
    <w:p w14:paraId="32709A75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53.</w:t>
      </w:r>
      <w:r w:rsidRPr="003B6257">
        <w:rPr>
          <w:lang w:val="hr-HR"/>
        </w:rPr>
        <w:tab/>
        <w:t xml:space="preserve">u tom pogledu naglašava da je potrebno zaštititi vertikalnu prirodu europskog modela sporta, pri čemu se promicanje u višu ili vraćanje u nižu ligu odvijaju na nacionalnoj </w:t>
      </w:r>
      <w:r w:rsidRPr="003B6257">
        <w:rPr>
          <w:lang w:val="hr-HR"/>
        </w:rPr>
        <w:lastRenderedPageBreak/>
        <w:t>razini, a godišnji rezultati u domaćim ligama jedini su kriterij za kvalificiranje u europska natjecanja;</w:t>
      </w:r>
    </w:p>
    <w:p w14:paraId="24E23CAB" w14:textId="77777777" w:rsidR="00D55AD6" w:rsidRPr="003B6257" w:rsidRDefault="00D55AD6" w:rsidP="00D55AD6">
      <w:pPr>
        <w:pStyle w:val="NormalHanging12a"/>
        <w:rPr>
          <w:lang w:val="hr-HR"/>
        </w:rPr>
      </w:pPr>
      <w:r w:rsidRPr="003B6257">
        <w:rPr>
          <w:lang w:val="hr-HR"/>
        </w:rPr>
        <w:t>54.</w:t>
      </w:r>
      <w:r w:rsidRPr="003B6257">
        <w:rPr>
          <w:lang w:val="hr-HR"/>
        </w:rPr>
        <w:tab/>
        <w:t>poziva Komisiju da pruži jasne smjernice o primjeni prava EU-a, uključujući pravo tržišnog natjecanja, na sportski sektor, također u svjetlu nedavnih presuda Suda Europske unije;</w:t>
      </w:r>
    </w:p>
    <w:p w14:paraId="163E2E83" w14:textId="77777777" w:rsidR="00D55AD6" w:rsidRPr="003B6257" w:rsidRDefault="00D55AD6" w:rsidP="00D55AD6">
      <w:pPr>
        <w:pStyle w:val="NormalCenter12a"/>
        <w:rPr>
          <w:lang w:val="hr-HR"/>
        </w:rPr>
      </w:pPr>
      <w:r w:rsidRPr="003B6257">
        <w:rPr>
          <w:lang w:val="hr-HR"/>
        </w:rPr>
        <w:t>°</w:t>
      </w:r>
    </w:p>
    <w:p w14:paraId="6A8B0884" w14:textId="77777777" w:rsidR="00D55AD6" w:rsidRPr="003B6257" w:rsidRDefault="00D55AD6" w:rsidP="00D55AD6">
      <w:pPr>
        <w:pStyle w:val="NormalCenter12a"/>
        <w:rPr>
          <w:lang w:val="hr-HR"/>
        </w:rPr>
      </w:pPr>
      <w:r w:rsidRPr="003B6257">
        <w:rPr>
          <w:lang w:val="hr-HR"/>
        </w:rPr>
        <w:t>°</w:t>
      </w:r>
      <w:r w:rsidRPr="003B6257">
        <w:rPr>
          <w:lang w:val="hr-HR"/>
        </w:rPr>
        <w:tab/>
        <w:t>°</w:t>
      </w:r>
    </w:p>
    <w:p w14:paraId="0AD08E0F" w14:textId="1AFC9A54" w:rsidR="00E365E1" w:rsidRPr="003B6257" w:rsidRDefault="00D55AD6" w:rsidP="00A230A7">
      <w:pPr>
        <w:pStyle w:val="NormalHanging12a"/>
      </w:pPr>
      <w:r w:rsidRPr="003B6257">
        <w:rPr>
          <w:lang w:val="hr-HR"/>
        </w:rPr>
        <w:t>55.</w:t>
      </w:r>
      <w:r w:rsidRPr="003B6257">
        <w:rPr>
          <w:lang w:val="hr-HR"/>
        </w:rPr>
        <w:tab/>
        <w:t>nalaže svojoj predsjednici da ovu Rezoluciju proslijedi Vijeću i Komisiji.</w:t>
      </w:r>
    </w:p>
    <w:sectPr w:rsidR="00E365E1" w:rsidRPr="003B6257" w:rsidSect="005113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247FB" w14:textId="77777777" w:rsidR="007853F8" w:rsidRPr="0051132D" w:rsidRDefault="007853F8">
      <w:r w:rsidRPr="0051132D">
        <w:separator/>
      </w:r>
    </w:p>
  </w:endnote>
  <w:endnote w:type="continuationSeparator" w:id="0">
    <w:p w14:paraId="6C50BD58" w14:textId="77777777" w:rsidR="007853F8" w:rsidRPr="0051132D" w:rsidRDefault="007853F8">
      <w:r w:rsidRPr="005113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D0F7" w14:textId="77777777" w:rsidR="00064002" w:rsidRPr="005113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DCFD" w14:textId="77777777" w:rsidR="00064002" w:rsidRPr="005113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65694" w14:textId="77777777" w:rsidR="00064002" w:rsidRPr="005113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5158" w14:textId="77777777" w:rsidR="007853F8" w:rsidRPr="0051132D" w:rsidRDefault="007853F8">
      <w:r w:rsidRPr="0051132D">
        <w:separator/>
      </w:r>
    </w:p>
  </w:footnote>
  <w:footnote w:type="continuationSeparator" w:id="0">
    <w:p w14:paraId="0C1DC668" w14:textId="77777777" w:rsidR="007853F8" w:rsidRPr="0051132D" w:rsidRDefault="007853F8">
      <w:r w:rsidRPr="0051132D">
        <w:continuationSeparator/>
      </w:r>
    </w:p>
  </w:footnote>
  <w:footnote w:id="1">
    <w:p w14:paraId="066A141E" w14:textId="7645B797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 xml:space="preserve">SL L 189, 28.5.2021., str. 1., ELI: </w:t>
      </w:r>
      <w:hyperlink r:id="rId1" w:history="1">
        <w:r w:rsidRPr="003B6257">
          <w:rPr>
            <w:rStyle w:val="Hyperlink"/>
            <w:sz w:val="24"/>
            <w:lang w:val="hr-HR"/>
          </w:rPr>
          <w:t>http://data.europa.eu/eli/reg/2021/817/oj</w:t>
        </w:r>
      </w:hyperlink>
      <w:r w:rsidRPr="0051132D">
        <w:rPr>
          <w:sz w:val="24"/>
          <w:lang w:val="hr-HR"/>
        </w:rPr>
        <w:t>.</w:t>
      </w:r>
    </w:p>
  </w:footnote>
  <w:footnote w:id="2">
    <w:p w14:paraId="2E9273E7" w14:textId="5FA0DC44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 C 239 E, 20.8.2013., str. 46.</w:t>
      </w:r>
    </w:p>
  </w:footnote>
  <w:footnote w:id="3">
    <w:p w14:paraId="437536D1" w14:textId="4C1A4A19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 C 36, 29.1.2016., str. 137.</w:t>
      </w:r>
    </w:p>
  </w:footnote>
  <w:footnote w:id="4">
    <w:p w14:paraId="02C4B7DC" w14:textId="724FF558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 C 252, 18.7.2018., str. 2.</w:t>
      </w:r>
    </w:p>
  </w:footnote>
  <w:footnote w:id="5">
    <w:p w14:paraId="4FCE34C9" w14:textId="69EC3BE7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 C 15, 12.1.2022., str. 18.</w:t>
      </w:r>
    </w:p>
  </w:footnote>
  <w:footnote w:id="6">
    <w:p w14:paraId="34CBCFE6" w14:textId="27998497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 C 224, 8.6.2022., str. 2.</w:t>
      </w:r>
    </w:p>
  </w:footnote>
  <w:footnote w:id="7">
    <w:p w14:paraId="09F382F9" w14:textId="227D7720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Studija – „Sportska politika EU-a: ocjena i mogući putevi naprijed”, Europski parlament, Glavna uprava za unutarnju politiku – Odjel za strukturnu i kohezijsku politiku, lipanj 2021.</w:t>
      </w:r>
    </w:p>
  </w:footnote>
  <w:footnote w:id="8">
    <w:p w14:paraId="5DF44AD2" w14:textId="75166196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3B6257">
        <w:rPr>
          <w:sz w:val="24"/>
          <w:u w:color="0000FF"/>
          <w:lang w:val="hr-HR"/>
        </w:rPr>
        <w:t xml:space="preserve">Europska komisija: Glavna uprava za obrazovanje, mlade, sport i kulturu, Sennett, J., Le Gall, A., Kelly, G., Cottrill, R. i drugi, Studija o europskom modelu sporta – izvješće za Europsku komisiju, Ured za publikacije Europsku uniju, 2022., </w:t>
      </w:r>
      <w:hyperlink r:id="rId2" w:history="1">
        <w:r w:rsidRPr="003B6257">
          <w:rPr>
            <w:rStyle w:val="Hyperlink"/>
            <w:sz w:val="24"/>
            <w:lang w:val="hr-HR"/>
          </w:rPr>
          <w:t>https://data.europa.eu/doi/10.2766/28433</w:t>
        </w:r>
      </w:hyperlink>
      <w:r w:rsidRPr="003B6257">
        <w:rPr>
          <w:sz w:val="24"/>
          <w:u w:color="0000FF"/>
          <w:lang w:val="hr-HR"/>
        </w:rPr>
        <w:t>.</w:t>
      </w:r>
    </w:p>
  </w:footnote>
  <w:footnote w:id="9">
    <w:p w14:paraId="7FE73540" w14:textId="193ED84C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 C, C/2024/3527, 3.6.2024.</w:t>
      </w:r>
      <w:r w:rsidRPr="0051132D">
        <w:rPr>
          <w:sz w:val="24"/>
          <w:lang w:val="hr-HR"/>
        </w:rPr>
        <w:t xml:space="preserve">, ELI: </w:t>
      </w:r>
      <w:hyperlink r:id="rId3" w:history="1">
        <w:r w:rsidRPr="00A230A7">
          <w:rPr>
            <w:rStyle w:val="Hyperlink"/>
            <w:sz w:val="24"/>
            <w:lang w:val="hr-HR"/>
          </w:rPr>
          <w:t>http://data.europa.eu/eli/C/2024/3527/oj</w:t>
        </w:r>
      </w:hyperlink>
      <w:r w:rsidRPr="0051132D">
        <w:rPr>
          <w:sz w:val="24"/>
          <w:lang w:val="hr-HR"/>
        </w:rPr>
        <w:t>.</w:t>
      </w:r>
    </w:p>
  </w:footnote>
  <w:footnote w:id="10">
    <w:p w14:paraId="63F2C5B8" w14:textId="0BDB6E19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 xml:space="preserve">Presuda Suda od 21. prosinca 2023., </w:t>
      </w:r>
      <w:r w:rsidRPr="0051132D">
        <w:rPr>
          <w:rStyle w:val="Italic"/>
          <w:sz w:val="24"/>
          <w:lang w:val="hr-HR"/>
        </w:rPr>
        <w:t>International Skating Union</w:t>
      </w:r>
      <w:r w:rsidRPr="0051132D">
        <w:rPr>
          <w:sz w:val="24"/>
          <w:lang w:val="hr-HR"/>
        </w:rPr>
        <w:t>/</w:t>
      </w:r>
      <w:r w:rsidRPr="0051132D">
        <w:rPr>
          <w:rStyle w:val="Italic"/>
          <w:sz w:val="24"/>
          <w:lang w:val="hr-HR"/>
        </w:rPr>
        <w:t>Europska komisija</w:t>
      </w:r>
      <w:r w:rsidRPr="0051132D">
        <w:rPr>
          <w:sz w:val="24"/>
          <w:lang w:val="hr-HR"/>
        </w:rPr>
        <w:t>, C-124/21 P, ECLI:EU:C:2023:1012.</w:t>
      </w:r>
    </w:p>
  </w:footnote>
  <w:footnote w:id="11">
    <w:p w14:paraId="73980C37" w14:textId="41C95028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 xml:space="preserve">Presuda Suda od 21. prosinca 2023., </w:t>
      </w:r>
      <w:r w:rsidRPr="0051132D">
        <w:rPr>
          <w:rStyle w:val="Italic"/>
          <w:sz w:val="24"/>
          <w:lang w:val="hr-HR"/>
        </w:rPr>
        <w:t>UL and SA Royal Antwerp Football Club</w:t>
      </w:r>
      <w:r w:rsidRPr="0051132D">
        <w:rPr>
          <w:sz w:val="24"/>
          <w:lang w:val="hr-HR"/>
        </w:rPr>
        <w:t>/</w:t>
      </w:r>
      <w:r w:rsidRPr="0051132D">
        <w:rPr>
          <w:rStyle w:val="Italic"/>
          <w:sz w:val="24"/>
          <w:lang w:val="hr-HR"/>
        </w:rPr>
        <w:t>Union royale belge des sociétés de football association ASBL</w:t>
      </w:r>
      <w:r w:rsidRPr="0051132D">
        <w:rPr>
          <w:sz w:val="24"/>
          <w:lang w:val="hr-HR"/>
        </w:rPr>
        <w:t>, C-680/21, ECLI:EU:C:2023:1010.</w:t>
      </w:r>
    </w:p>
  </w:footnote>
  <w:footnote w:id="12">
    <w:p w14:paraId="2B199B29" w14:textId="34965103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 xml:space="preserve">Presuda Suda od 21. prosinca 2023., </w:t>
      </w:r>
      <w:r w:rsidRPr="0051132D">
        <w:rPr>
          <w:rStyle w:val="Italic"/>
          <w:sz w:val="24"/>
          <w:lang w:val="hr-HR"/>
        </w:rPr>
        <w:t>European Superleague Company, SL</w:t>
      </w:r>
      <w:r w:rsidRPr="0051132D">
        <w:rPr>
          <w:sz w:val="24"/>
          <w:lang w:val="hr-HR"/>
        </w:rPr>
        <w:t>/</w:t>
      </w:r>
      <w:r w:rsidRPr="0051132D">
        <w:rPr>
          <w:rStyle w:val="Italic"/>
          <w:sz w:val="24"/>
          <w:lang w:val="hr-HR"/>
        </w:rPr>
        <w:t>Fédération internationale de football association (FIFA) i Union of European Football Associations (UEFA)</w:t>
      </w:r>
      <w:r w:rsidRPr="0051132D">
        <w:rPr>
          <w:sz w:val="24"/>
          <w:lang w:val="hr-HR"/>
        </w:rPr>
        <w:t>, C-333/21, ECLI:EU:C:2023:1011.</w:t>
      </w:r>
    </w:p>
  </w:footnote>
  <w:footnote w:id="13">
    <w:p w14:paraId="10622D11" w14:textId="19598592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 xml:space="preserve">Presuda Suda od 4. listopada 2024., </w:t>
      </w:r>
      <w:r w:rsidRPr="0051132D">
        <w:rPr>
          <w:rStyle w:val="Italic"/>
          <w:sz w:val="24"/>
          <w:lang w:val="hr-HR"/>
        </w:rPr>
        <w:t>Fédération internationale de football association (FIFA)</w:t>
      </w:r>
      <w:r w:rsidRPr="0051132D">
        <w:rPr>
          <w:sz w:val="24"/>
          <w:lang w:val="hr-HR"/>
        </w:rPr>
        <w:t>/</w:t>
      </w:r>
      <w:r w:rsidRPr="0051132D">
        <w:rPr>
          <w:rStyle w:val="Italic"/>
          <w:sz w:val="24"/>
          <w:lang w:val="hr-HR"/>
        </w:rPr>
        <w:t>BZ</w:t>
      </w:r>
      <w:r w:rsidRPr="0051132D">
        <w:rPr>
          <w:sz w:val="24"/>
          <w:lang w:val="hr-HR"/>
        </w:rPr>
        <w:t>, C‑650/22, ECLI:EU:C:2024:824.</w:t>
      </w:r>
    </w:p>
  </w:footnote>
  <w:footnote w:id="14">
    <w:p w14:paraId="2167AF5B" w14:textId="51E94D36" w:rsidR="00D55AD6" w:rsidRPr="0051132D" w:rsidRDefault="00D55AD6" w:rsidP="0051132D">
      <w:pPr>
        <w:pStyle w:val="FootnoteText"/>
        <w:ind w:left="567" w:hanging="567"/>
        <w:rPr>
          <w:sz w:val="24"/>
          <w:lang w:val="hr-HR"/>
        </w:rPr>
      </w:pPr>
      <w:r w:rsidRPr="0051132D">
        <w:rPr>
          <w:rStyle w:val="FootnoteReference"/>
          <w:sz w:val="24"/>
          <w:lang w:val="hr-HR"/>
        </w:rPr>
        <w:footnoteRef/>
      </w:r>
      <w:r w:rsidR="0051132D" w:rsidRPr="0051132D">
        <w:rPr>
          <w:sz w:val="24"/>
          <w:lang w:val="hr-HR"/>
        </w:rPr>
        <w:t xml:space="preserve"> </w:t>
      </w:r>
      <w:r w:rsidR="0051132D" w:rsidRPr="0051132D">
        <w:rPr>
          <w:sz w:val="24"/>
          <w:lang w:val="hr-HR"/>
        </w:rPr>
        <w:tab/>
      </w:r>
      <w:r w:rsidRPr="0051132D">
        <w:rPr>
          <w:sz w:val="24"/>
          <w:lang w:val="hr-HR"/>
        </w:rPr>
        <w:t>SL C 501, 13.12.2021., str.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C73A7" w14:textId="77777777" w:rsidR="00064002" w:rsidRPr="005113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9593" w14:textId="77777777" w:rsidR="00064002" w:rsidRPr="005113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B618E" w14:textId="77777777" w:rsidR="00064002" w:rsidRPr="005113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6471326">
    <w:abstractNumId w:val="9"/>
  </w:num>
  <w:num w:numId="2" w16cid:durableId="1030959078">
    <w:abstractNumId w:val="9"/>
  </w:num>
  <w:num w:numId="3" w16cid:durableId="1212771427">
    <w:abstractNumId w:val="7"/>
  </w:num>
  <w:num w:numId="4" w16cid:durableId="111096154">
    <w:abstractNumId w:val="7"/>
  </w:num>
  <w:num w:numId="5" w16cid:durableId="1795054991">
    <w:abstractNumId w:val="6"/>
  </w:num>
  <w:num w:numId="6" w16cid:durableId="2026010766">
    <w:abstractNumId w:val="6"/>
  </w:num>
  <w:num w:numId="7" w16cid:durableId="58477377">
    <w:abstractNumId w:val="5"/>
  </w:num>
  <w:num w:numId="8" w16cid:durableId="1943761865">
    <w:abstractNumId w:val="5"/>
  </w:num>
  <w:num w:numId="9" w16cid:durableId="1619607916">
    <w:abstractNumId w:val="4"/>
  </w:num>
  <w:num w:numId="10" w16cid:durableId="1968658063">
    <w:abstractNumId w:val="4"/>
  </w:num>
  <w:num w:numId="11" w16cid:durableId="360782281">
    <w:abstractNumId w:val="8"/>
  </w:num>
  <w:num w:numId="12" w16cid:durableId="1201088683">
    <w:abstractNumId w:val="8"/>
  </w:num>
  <w:num w:numId="13" w16cid:durableId="1328485229">
    <w:abstractNumId w:val="3"/>
  </w:num>
  <w:num w:numId="14" w16cid:durableId="2556850">
    <w:abstractNumId w:val="3"/>
  </w:num>
  <w:num w:numId="15" w16cid:durableId="444738272">
    <w:abstractNumId w:val="2"/>
  </w:num>
  <w:num w:numId="16" w16cid:durableId="1867059056">
    <w:abstractNumId w:val="2"/>
  </w:num>
  <w:num w:numId="17" w16cid:durableId="2015104815">
    <w:abstractNumId w:val="1"/>
  </w:num>
  <w:num w:numId="18" w16cid:durableId="1193572544">
    <w:abstractNumId w:val="1"/>
  </w:num>
  <w:num w:numId="19" w16cid:durableId="1204754310">
    <w:abstractNumId w:val="0"/>
  </w:num>
  <w:num w:numId="20" w16cid:durableId="37169656">
    <w:abstractNumId w:val="0"/>
  </w:num>
  <w:num w:numId="21" w16cid:durableId="84883578">
    <w:abstractNumId w:val="9"/>
  </w:num>
  <w:num w:numId="22" w16cid:durableId="1160005851">
    <w:abstractNumId w:val="7"/>
  </w:num>
  <w:num w:numId="23" w16cid:durableId="938558822">
    <w:abstractNumId w:val="6"/>
  </w:num>
  <w:num w:numId="24" w16cid:durableId="569772755">
    <w:abstractNumId w:val="5"/>
  </w:num>
  <w:num w:numId="25" w16cid:durableId="1822307911">
    <w:abstractNumId w:val="4"/>
  </w:num>
  <w:num w:numId="26" w16cid:durableId="1838105673">
    <w:abstractNumId w:val="8"/>
  </w:num>
  <w:num w:numId="27" w16cid:durableId="277881146">
    <w:abstractNumId w:val="3"/>
  </w:num>
  <w:num w:numId="28" w16cid:durableId="1401756850">
    <w:abstractNumId w:val="2"/>
  </w:num>
  <w:num w:numId="29" w16cid:durableId="1453666183">
    <w:abstractNumId w:val="1"/>
  </w:num>
  <w:num w:numId="30" w16cid:durableId="852652016">
    <w:abstractNumId w:val="0"/>
  </w:num>
  <w:num w:numId="31" w16cid:durableId="1409960872">
    <w:abstractNumId w:val="9"/>
  </w:num>
  <w:num w:numId="32" w16cid:durableId="122961940">
    <w:abstractNumId w:val="7"/>
  </w:num>
  <w:num w:numId="33" w16cid:durableId="1084884177">
    <w:abstractNumId w:val="6"/>
  </w:num>
  <w:num w:numId="34" w16cid:durableId="1757938716">
    <w:abstractNumId w:val="5"/>
  </w:num>
  <w:num w:numId="35" w16cid:durableId="1944797187">
    <w:abstractNumId w:val="4"/>
  </w:num>
  <w:num w:numId="36" w16cid:durableId="187450795">
    <w:abstractNumId w:val="8"/>
  </w:num>
  <w:num w:numId="37" w16cid:durableId="1291789073">
    <w:abstractNumId w:val="3"/>
  </w:num>
  <w:num w:numId="38" w16cid:durableId="1252590833">
    <w:abstractNumId w:val="2"/>
  </w:num>
  <w:num w:numId="39" w16cid:durableId="2084139102">
    <w:abstractNumId w:val="1"/>
  </w:num>
  <w:num w:numId="40" w16cid:durableId="2007122470">
    <w:abstractNumId w:val="0"/>
  </w:num>
  <w:num w:numId="41" w16cid:durableId="4792951">
    <w:abstractNumId w:val="10"/>
  </w:num>
  <w:num w:numId="42" w16cid:durableId="1434476040">
    <w:abstractNumId w:val="10"/>
  </w:num>
  <w:num w:numId="43" w16cid:durableId="1405838421">
    <w:abstractNumId w:val="10"/>
  </w:num>
  <w:num w:numId="44" w16cid:durableId="18285937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7/2025"/>
    <w:docVar w:name="dvlangue" w:val="HR"/>
    <w:docVar w:name="dvnumam" w:val="0"/>
    <w:docVar w:name="dvpe" w:val="772.146"/>
    <w:docVar w:name="dvrapporteur" w:val="Izvjestitelj: "/>
    <w:docVar w:name="dvtitre" w:val="Rezolucija Europskog parlamenta od .... 2025. o ulozi politika EU-a u oblikovanju europskog modela sporta(2025/2035(INI))"/>
  </w:docVars>
  <w:rsids>
    <w:rsidRoot w:val="007853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6257"/>
    <w:rsid w:val="003E15D4"/>
    <w:rsid w:val="003E377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2D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49D"/>
    <w:rsid w:val="00731ADD"/>
    <w:rsid w:val="00734777"/>
    <w:rsid w:val="00747932"/>
    <w:rsid w:val="00751A4A"/>
    <w:rsid w:val="00753BA4"/>
    <w:rsid w:val="00756632"/>
    <w:rsid w:val="00762C74"/>
    <w:rsid w:val="007853F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0A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AD6"/>
    <w:rsid w:val="00D56C11"/>
    <w:rsid w:val="00D6453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1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615FA"/>
  <w15:chartTrackingRefBased/>
  <w15:docId w15:val="{8F7504E7-258A-477D-9CEB-14CC013E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5AD6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D55AD6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D55AD6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D55AD6"/>
    <w:rPr>
      <w:b/>
      <w:i/>
      <w:u w:val="none"/>
    </w:rPr>
  </w:style>
  <w:style w:type="character" w:customStyle="1" w:styleId="Italic">
    <w:name w:val="Italic"/>
    <w:uiPriority w:val="1"/>
    <w:rsid w:val="00D55AD6"/>
    <w:rPr>
      <w:i/>
    </w:rPr>
  </w:style>
  <w:style w:type="paragraph" w:customStyle="1" w:styleId="Normal12a24b">
    <w:name w:val="Normal12a24b"/>
    <w:basedOn w:val="Normal"/>
    <w:rsid w:val="00D55AD6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D55AD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527/oj" TargetMode="External"/><Relationship Id="rId2" Type="http://schemas.openxmlformats.org/officeDocument/2006/relationships/hyperlink" Target="https://data.europa.eu/doi/10.2766/28433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2747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GOROPECNIK Tina</cp:lastModifiedBy>
  <cp:revision>3</cp:revision>
  <cp:lastPrinted>2004-11-19T15:42:00Z</cp:lastPrinted>
  <dcterms:created xsi:type="dcterms:W3CDTF">2026-01-14T14:24:00Z</dcterms:created>
  <dcterms:modified xsi:type="dcterms:W3CDTF">2026-01-14T14:25:00Z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A10-0157/2025</vt:lpwstr>
  </property>
  <property fmtid="{D5CDD505-2E9C-101B-9397-08002B2CF9AE}" pid="4" name="&lt;Type&gt;">
    <vt:lpwstr>RR</vt:lpwstr>
  </property>
</Properties>
</file>