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2198" w14:paraId="046801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793CEC" w14:textId="4AD155E9" w:rsidR="00751A4A" w:rsidRPr="00AD2198" w:rsidRDefault="00BD093F" w:rsidP="0010095E">
            <w:pPr>
              <w:pStyle w:val="EPName"/>
            </w:pPr>
            <w:r w:rsidRPr="00AD2198">
              <w:t>Parlament Europejski</w:t>
            </w:r>
          </w:p>
          <w:p w14:paraId="3D23063C" w14:textId="77777777" w:rsidR="00751A4A" w:rsidRPr="00AD21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2198">
              <w:t>2024</w:t>
            </w:r>
            <w:r w:rsidR="00817416" w:rsidRPr="00AD2198">
              <w:t>-202</w:t>
            </w:r>
            <w:r w:rsidRPr="00AD2198">
              <w:t>9</w:t>
            </w:r>
          </w:p>
        </w:tc>
        <w:tc>
          <w:tcPr>
            <w:tcW w:w="2268" w:type="dxa"/>
            <w:shd w:val="clear" w:color="auto" w:fill="auto"/>
          </w:tcPr>
          <w:p w14:paraId="03B2FB86" w14:textId="77777777" w:rsidR="00751A4A" w:rsidRPr="00AD2198" w:rsidRDefault="00187494" w:rsidP="0010095E">
            <w:pPr>
              <w:pStyle w:val="EPLogo"/>
            </w:pPr>
            <w:r w:rsidRPr="00AD2198">
              <w:rPr>
                <w:noProof/>
                <w:lang w:eastAsia="ja-JP"/>
              </w:rPr>
              <w:drawing>
                <wp:inline distT="0" distB="0" distL="0" distR="0" wp14:anchorId="47004232" wp14:editId="6FF851D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08799E" w14:textId="77777777" w:rsidR="00D058B8" w:rsidRPr="00AD2198" w:rsidRDefault="00D058B8" w:rsidP="004C5D52">
      <w:pPr>
        <w:pStyle w:val="LineTop"/>
      </w:pPr>
    </w:p>
    <w:p w14:paraId="512E6469" w14:textId="4AF2D216" w:rsidR="00680577" w:rsidRPr="00AD2198" w:rsidRDefault="00BD093F" w:rsidP="00680577">
      <w:pPr>
        <w:pStyle w:val="EPBodyTA1"/>
      </w:pPr>
      <w:r w:rsidRPr="00AD2198">
        <w:t>TEKSTY PRZYJĘTE</w:t>
      </w:r>
    </w:p>
    <w:p w14:paraId="7BCEEAF4" w14:textId="77777777" w:rsidR="00D058B8" w:rsidRPr="00AD2198" w:rsidRDefault="00D058B8" w:rsidP="00D058B8">
      <w:pPr>
        <w:pStyle w:val="LineBottom"/>
      </w:pPr>
    </w:p>
    <w:p w14:paraId="44EE1D4F" w14:textId="759B9967" w:rsidR="00BD093F" w:rsidRPr="00AD2198" w:rsidRDefault="00BD093F" w:rsidP="00BD093F">
      <w:pPr>
        <w:pStyle w:val="ATHeading1"/>
      </w:pPr>
      <w:bookmarkStart w:id="0" w:name="TANumber"/>
      <w:r w:rsidRPr="00AD2198">
        <w:t>P10_TA(2025)0</w:t>
      </w:r>
      <w:bookmarkEnd w:id="0"/>
      <w:r w:rsidR="00610289">
        <w:t>212</w:t>
      </w:r>
    </w:p>
    <w:p w14:paraId="79AD9533" w14:textId="77777777" w:rsidR="00BD093F" w:rsidRPr="00AD2198" w:rsidRDefault="00BD093F" w:rsidP="00BD093F">
      <w:pPr>
        <w:pStyle w:val="ATHeading2"/>
      </w:pPr>
      <w:bookmarkStart w:id="1" w:name="title"/>
      <w:r w:rsidRPr="00AD2198">
        <w:t>Rola unijnych strategii politycznych w kształtowaniu europejskiego modelu sportu</w:t>
      </w:r>
      <w:bookmarkEnd w:id="1"/>
    </w:p>
    <w:p w14:paraId="086243C7" w14:textId="77777777" w:rsidR="00BD093F" w:rsidRPr="00AD2198" w:rsidRDefault="00BD093F" w:rsidP="00BD093F">
      <w:pPr>
        <w:rPr>
          <w:i/>
          <w:vanish/>
        </w:rPr>
      </w:pPr>
      <w:r w:rsidRPr="00AD2198">
        <w:rPr>
          <w:i/>
        </w:rPr>
        <w:fldChar w:fldCharType="begin"/>
      </w:r>
      <w:r w:rsidRPr="00AD2198">
        <w:rPr>
          <w:i/>
        </w:rPr>
        <w:instrText xml:space="preserve"> TC"(</w:instrText>
      </w:r>
      <w:bookmarkStart w:id="2" w:name="DocNumber"/>
      <w:r w:rsidRPr="00AD2198">
        <w:rPr>
          <w:i/>
        </w:rPr>
        <w:instrText>A10-0157/2025</w:instrText>
      </w:r>
      <w:bookmarkEnd w:id="2"/>
      <w:r w:rsidRPr="00AD2198">
        <w:rPr>
          <w:i/>
        </w:rPr>
        <w:instrText xml:space="preserve"> - Sprawozdawca: Bogdan Andrzej Zdrojewski)"\l3 \n&gt; \* MERGEFORMAT </w:instrText>
      </w:r>
      <w:r w:rsidRPr="00AD2198">
        <w:rPr>
          <w:i/>
        </w:rPr>
        <w:fldChar w:fldCharType="end"/>
      </w:r>
    </w:p>
    <w:p w14:paraId="08854B3E" w14:textId="77777777" w:rsidR="00BD093F" w:rsidRPr="00AD2198" w:rsidRDefault="00BD093F" w:rsidP="00BD093F">
      <w:pPr>
        <w:rPr>
          <w:vanish/>
        </w:rPr>
      </w:pPr>
      <w:bookmarkStart w:id="3" w:name="Commission"/>
      <w:r w:rsidRPr="00AD2198">
        <w:rPr>
          <w:vanish/>
        </w:rPr>
        <w:t>Komisja Kultury i Edukacji</w:t>
      </w:r>
      <w:bookmarkEnd w:id="3"/>
    </w:p>
    <w:p w14:paraId="0AB02657" w14:textId="77777777" w:rsidR="00BD093F" w:rsidRPr="00AD2198" w:rsidRDefault="00BD093F" w:rsidP="00BD093F">
      <w:pPr>
        <w:rPr>
          <w:vanish/>
        </w:rPr>
      </w:pPr>
      <w:bookmarkStart w:id="4" w:name="PE"/>
      <w:r w:rsidRPr="00AD2198">
        <w:rPr>
          <w:vanish/>
        </w:rPr>
        <w:t>PE772.146</w:t>
      </w:r>
      <w:bookmarkEnd w:id="4"/>
    </w:p>
    <w:p w14:paraId="2FD145B2" w14:textId="6DCA51C2" w:rsidR="00BD093F" w:rsidRPr="00AD2198" w:rsidRDefault="00BD093F" w:rsidP="00BD093F">
      <w:pPr>
        <w:pStyle w:val="ATHeading3"/>
      </w:pPr>
      <w:bookmarkStart w:id="5" w:name="Sujet"/>
      <w:r w:rsidRPr="00AD2198">
        <w:t xml:space="preserve">Rezolucja Parlamentu Europejskiego z dnia </w:t>
      </w:r>
      <w:r w:rsidR="00595BFE">
        <w:t>7 października</w:t>
      </w:r>
      <w:r w:rsidRPr="00AD2198">
        <w:t xml:space="preserve"> 2025 r. w sprawie roli unijnych strategii politycznych w kształtowaniu europejskiego modelu sportu</w:t>
      </w:r>
      <w:bookmarkEnd w:id="5"/>
      <w:r w:rsidRPr="00AD2198">
        <w:t xml:space="preserve"> </w:t>
      </w:r>
      <w:bookmarkStart w:id="6" w:name="References"/>
      <w:r w:rsidRPr="00AD2198">
        <w:t>(2025/2035(INI))</w:t>
      </w:r>
      <w:bookmarkEnd w:id="6"/>
    </w:p>
    <w:p w14:paraId="584907BD" w14:textId="77777777" w:rsidR="00706AAC" w:rsidRPr="00AD2198" w:rsidRDefault="00706AAC" w:rsidP="00706AAC">
      <w:pPr>
        <w:pStyle w:val="EPComma"/>
        <w:rPr>
          <w:lang w:val="pl-PL"/>
        </w:rPr>
      </w:pPr>
      <w:r w:rsidRPr="00AD2198">
        <w:rPr>
          <w:rStyle w:val="Italic"/>
          <w:lang w:val="pl-PL"/>
        </w:rPr>
        <w:t>Parlament Europejski</w:t>
      </w:r>
      <w:r w:rsidRPr="00AD2198">
        <w:rPr>
          <w:lang w:val="pl-PL"/>
        </w:rPr>
        <w:t>,</w:t>
      </w:r>
    </w:p>
    <w:p w14:paraId="04BAB4F5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Traktat o funkcjonowaniu Unii Europejskiej (TFUE), w szczególności jego art. 6 i 165, które określają kompetencje i działania Unii w dziedzinie sportu, a zwłaszcza wspieranie europejskich przedsięwzięć dotyczących sportu, a jednocześnie biorąc pod uwagę szczególny charakter sportu, jego struktury oparte na wolontariacie oraz funkcję społeczną i edukacyjną, a także art. 26 i 114 TFUE określające kompetencje Unii w odniesieniu do jej rynku wewnętrznego,</w:t>
      </w:r>
    </w:p>
    <w:p w14:paraId="09BCBF93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rozporządzenie Parlamentu Europejskiego i Rady (UE) 2021/817 z dnia 20 maja 2021 r. ustanawiające „Erasmus+”: unijny program na rzecz kształcenia i szkolenia, młodzieży i sportu oraz uchylające rozporządzenie (UE) nr 1288/2013</w:t>
      </w:r>
      <w:r w:rsidRPr="00AD2198">
        <w:rPr>
          <w:rStyle w:val="FootnoteReference"/>
          <w:lang w:val="pl-PL"/>
        </w:rPr>
        <w:footnoteReference w:id="1"/>
      </w:r>
      <w:r w:rsidRPr="00AD2198">
        <w:rPr>
          <w:lang w:val="pl-PL"/>
        </w:rPr>
        <w:t>, a w szczególności jego rozdział IV dotyczący sportu,</w:t>
      </w:r>
    </w:p>
    <w:p w14:paraId="290E1018" w14:textId="348658CA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komunikat Komisji z dnia 11 lipca 2007 r. pt. „Biała księga na temat sportu” (</w:t>
      </w:r>
      <w:r w:rsidRPr="00595BFE">
        <w:rPr>
          <w:lang w:val="pl-PL"/>
        </w:rPr>
        <w:t>COM(2007)0391</w:t>
      </w:r>
      <w:r w:rsidRPr="00AD2198">
        <w:rPr>
          <w:lang w:val="pl-PL"/>
        </w:rPr>
        <w:t>),</w:t>
      </w:r>
    </w:p>
    <w:p w14:paraId="1B8C2A35" w14:textId="73EF6156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komunikat Komisji z dnia 18 stycznia 2011 r. pt. „Rozwijanie europejskiego wymiaru sportu” (</w:t>
      </w:r>
      <w:r w:rsidRPr="00595BFE">
        <w:rPr>
          <w:lang w:val="pl-PL"/>
        </w:rPr>
        <w:t>COM(2011)0012</w:t>
      </w:r>
      <w:r w:rsidRPr="00AD2198">
        <w:rPr>
          <w:lang w:val="pl-PL"/>
        </w:rPr>
        <w:t>),</w:t>
      </w:r>
    </w:p>
    <w:p w14:paraId="6B3C03A6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swoją rezolucję z dnia 2 lutego 2012 r. w sprawie europejskiego wymiaru sportu</w:t>
      </w:r>
      <w:r w:rsidRPr="00AD2198">
        <w:rPr>
          <w:rStyle w:val="FootnoteReference"/>
          <w:lang w:val="pl-PL"/>
        </w:rPr>
        <w:footnoteReference w:id="2"/>
      </w:r>
      <w:r w:rsidRPr="00AD2198">
        <w:rPr>
          <w:lang w:val="pl-PL"/>
        </w:rPr>
        <w:t>,</w:t>
      </w:r>
    </w:p>
    <w:p w14:paraId="7864F3AF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swoją rezolucję z dnia 14 marca 2013 r. w sprawie ustawiania wyników meczów i korupcji w sporcie</w:t>
      </w:r>
      <w:r w:rsidRPr="00AD2198">
        <w:rPr>
          <w:rStyle w:val="FootnoteReference"/>
          <w:lang w:val="pl-PL"/>
        </w:rPr>
        <w:footnoteReference w:id="3"/>
      </w:r>
      <w:r w:rsidRPr="00AD2198">
        <w:rPr>
          <w:lang w:val="pl-PL"/>
        </w:rPr>
        <w:t>,</w:t>
      </w:r>
    </w:p>
    <w:p w14:paraId="53E56E7E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lastRenderedPageBreak/>
        <w:t>–</w:t>
      </w:r>
      <w:r w:rsidRPr="00AD2198">
        <w:rPr>
          <w:lang w:val="pl-PL"/>
        </w:rPr>
        <w:tab/>
        <w:t>uwzględniając swoją rezolucję z dnia 2 lutego 2017 r. w sprawie zintegrowanego podejścia do polityki w dziedzinie sportu: dobre zarządzanie, dostępność i uczciwość</w:t>
      </w:r>
      <w:r w:rsidRPr="00AD2198">
        <w:rPr>
          <w:rStyle w:val="FootnoteReference"/>
          <w:lang w:val="pl-PL"/>
        </w:rPr>
        <w:footnoteReference w:id="4"/>
      </w:r>
      <w:r w:rsidRPr="00AD2198">
        <w:rPr>
          <w:lang w:val="pl-PL"/>
        </w:rPr>
        <w:t>,</w:t>
      </w:r>
    </w:p>
    <w:p w14:paraId="23CCC399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swoją rezolucję z dnia 19 maja 2021 r. zawierającą zalecenia dla Komisji w sprawie wyzwań stojących przed organizatorami wydarzeń sportowych w środowisku cyfrowym</w:t>
      </w:r>
      <w:r w:rsidRPr="00AD2198">
        <w:rPr>
          <w:rStyle w:val="FootnoteReference"/>
          <w:lang w:val="pl-PL"/>
        </w:rPr>
        <w:footnoteReference w:id="5"/>
      </w:r>
      <w:r w:rsidRPr="00AD2198">
        <w:rPr>
          <w:lang w:val="pl-PL"/>
        </w:rPr>
        <w:t>,</w:t>
      </w:r>
    </w:p>
    <w:p w14:paraId="017886AC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swoją rezolucję z dnia 23 listopada 2021 r. w sprawie polityki UE w dziedzinie sportu: ocena i możliwe kierunki dalszych działań</w:t>
      </w:r>
      <w:r w:rsidRPr="00AD2198">
        <w:rPr>
          <w:rStyle w:val="FootnoteReference"/>
          <w:lang w:val="pl-PL"/>
        </w:rPr>
        <w:footnoteReference w:id="6"/>
      </w:r>
      <w:r w:rsidRPr="00AD2198">
        <w:rPr>
          <w:lang w:val="pl-PL"/>
        </w:rPr>
        <w:t>,</w:t>
      </w:r>
    </w:p>
    <w:p w14:paraId="07D32FE8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badanie zlecone przez Komisję Kultury i Edukacji pt. „Polityka UE w dziedzinie sportu: ocena i możliwe kierunki dalszych działań”, opublikowane przez Dyrekcję Generalną ds. Polityki Wewnętrznej w czerwcu 2021 r.</w:t>
      </w:r>
      <w:r w:rsidRPr="00AD2198">
        <w:rPr>
          <w:rStyle w:val="FootnoteReference"/>
          <w:lang w:val="pl-PL"/>
        </w:rPr>
        <w:footnoteReference w:id="7"/>
      </w:r>
      <w:r w:rsidRPr="00AD2198">
        <w:rPr>
          <w:lang w:val="pl-PL"/>
        </w:rPr>
        <w:t>,</w:t>
      </w:r>
    </w:p>
    <w:p w14:paraId="4BE18C55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badanie Komisji pt. „</w:t>
      </w:r>
      <w:proofErr w:type="spellStart"/>
      <w:r w:rsidRPr="00AD2198">
        <w:rPr>
          <w:lang w:val="pl-PL"/>
        </w:rPr>
        <w:t>Study</w:t>
      </w:r>
      <w:proofErr w:type="spellEnd"/>
      <w:r w:rsidRPr="00AD2198">
        <w:rPr>
          <w:lang w:val="pl-PL"/>
        </w:rPr>
        <w:t xml:space="preserve"> on the </w:t>
      </w:r>
      <w:proofErr w:type="spellStart"/>
      <w:r w:rsidRPr="00AD2198">
        <w:rPr>
          <w:lang w:val="pl-PL"/>
        </w:rPr>
        <w:t>European</w:t>
      </w:r>
      <w:proofErr w:type="spellEnd"/>
      <w:r w:rsidRPr="00AD2198">
        <w:rPr>
          <w:lang w:val="pl-PL"/>
        </w:rPr>
        <w:t xml:space="preserve"> Sport Model” [Badanie dotyczące europejskiego modelu sportu], opublikowane w kwietniu 2022 r.</w:t>
      </w:r>
      <w:r w:rsidRPr="00AD2198">
        <w:rPr>
          <w:rStyle w:val="FootnoteReference"/>
          <w:lang w:val="pl-PL"/>
        </w:rPr>
        <w:footnoteReference w:id="8"/>
      </w:r>
      <w:r w:rsidRPr="00AD2198">
        <w:rPr>
          <w:lang w:val="pl-PL"/>
        </w:rPr>
        <w:t>,</w:t>
      </w:r>
    </w:p>
    <w:p w14:paraId="26D16EF0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rezolucję Rady i przedstawicieli rządów państw członkowskich zebranych w Radzie z 3 czerwca 2024 r. w sprawie planu prac Unii Europejskiej w dziedzinie sportu (na okres 1 lipca 2024 r. – 31 grudnia 2027 r.)</w:t>
      </w:r>
      <w:r w:rsidRPr="00AD2198">
        <w:rPr>
          <w:rStyle w:val="FootnoteReference"/>
          <w:lang w:val="pl-PL"/>
        </w:rPr>
        <w:footnoteReference w:id="9"/>
      </w:r>
      <w:r w:rsidRPr="00AD2198">
        <w:rPr>
          <w:lang w:val="pl-PL"/>
        </w:rPr>
        <w:t>,</w:t>
      </w:r>
    </w:p>
    <w:p w14:paraId="4B99A515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sprawozdanie Komisji z 14 lutego 2024 r. dotyczące realizacji i przydatności planu prac Unii Europejskiej w dziedzinie sportu na lata 2021–2024 oraz dotyczące zalecenia w sprawie propagowania we wszystkich sektorach prozdrowotnej aktywności fizycznej (</w:t>
      </w:r>
      <w:hyperlink r:id="rId9" w:history="1">
        <w:r w:rsidRPr="00AD2198">
          <w:rPr>
            <w:rStyle w:val="Hyperlink"/>
            <w:lang w:val="pl-PL"/>
          </w:rPr>
          <w:t>COM(2024)0073</w:t>
        </w:r>
      </w:hyperlink>
      <w:r w:rsidRPr="00AD2198">
        <w:rPr>
          <w:lang w:val="pl-PL"/>
        </w:rPr>
        <w:t>),</w:t>
      </w:r>
    </w:p>
    <w:p w14:paraId="605F03CC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 xml:space="preserve">uwzględniając Konwencję Rady Europy podpisaną 18 września 2014 r. w sprawie zwalczania manipulacji rozgrywkami sportowymi (konwencję z </w:t>
      </w:r>
      <w:proofErr w:type="spellStart"/>
      <w:r w:rsidRPr="00AD2198">
        <w:rPr>
          <w:lang w:val="pl-PL"/>
        </w:rPr>
        <w:t>Macolin</w:t>
      </w:r>
      <w:proofErr w:type="spellEnd"/>
      <w:r w:rsidRPr="00AD2198">
        <w:rPr>
          <w:lang w:val="pl-PL"/>
        </w:rPr>
        <w:t>),</w:t>
      </w:r>
    </w:p>
    <w:p w14:paraId="38219BE6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zmienioną Europejską kartę sportu, przyjętą przez Radę Europy 13 października 2021 r.,</w:t>
      </w:r>
    </w:p>
    <w:p w14:paraId="7C66AAE1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międzynarodową Kartę Organizacji Narodów Zjednoczonych do spraw Oświaty, Nauki i Kultury (UNESCO) dotyczącą wychowania fizycznego, aktywności fizycznej i sportu z 2015 r.,</w:t>
      </w:r>
    </w:p>
    <w:p w14:paraId="09B68243" w14:textId="778F7B7B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lastRenderedPageBreak/>
        <w:t>–</w:t>
      </w:r>
      <w:r w:rsidRPr="00AD2198">
        <w:rPr>
          <w:lang w:val="pl-PL"/>
        </w:rPr>
        <w:tab/>
        <w:t xml:space="preserve">uwzględniając niedawne wyroki Trybunału Sprawiedliwości UE (TSUE) dotyczące sportu, w tym sprawy C-124/21 P, </w:t>
      </w:r>
      <w:r w:rsidRPr="00AD2198">
        <w:rPr>
          <w:rStyle w:val="Italic"/>
          <w:lang w:val="pl-PL"/>
        </w:rPr>
        <w:t>International Skating Union / Komisja</w:t>
      </w:r>
      <w:r w:rsidRPr="00AD2198">
        <w:rPr>
          <w:rStyle w:val="FootnoteReference"/>
          <w:lang w:val="pl-PL"/>
        </w:rPr>
        <w:footnoteReference w:id="10"/>
      </w:r>
      <w:r w:rsidRPr="00AD2198">
        <w:rPr>
          <w:lang w:val="pl-PL"/>
        </w:rPr>
        <w:t xml:space="preserve">, C-680/21, </w:t>
      </w:r>
      <w:proofErr w:type="spellStart"/>
      <w:r w:rsidRPr="00AD2198">
        <w:rPr>
          <w:rStyle w:val="Italic"/>
          <w:lang w:val="pl-PL"/>
        </w:rPr>
        <w:t>Royal</w:t>
      </w:r>
      <w:proofErr w:type="spellEnd"/>
      <w:r w:rsidRPr="00AD2198">
        <w:rPr>
          <w:rStyle w:val="Italic"/>
          <w:lang w:val="pl-PL"/>
        </w:rPr>
        <w:t xml:space="preserve"> </w:t>
      </w:r>
      <w:proofErr w:type="spellStart"/>
      <w:r w:rsidRPr="00AD2198">
        <w:rPr>
          <w:rStyle w:val="Italic"/>
          <w:lang w:val="pl-PL"/>
        </w:rPr>
        <w:t>Antwerp</w:t>
      </w:r>
      <w:proofErr w:type="spellEnd"/>
      <w:r w:rsidRPr="00AD2198">
        <w:rPr>
          <w:rStyle w:val="Italic"/>
          <w:lang w:val="pl-PL"/>
        </w:rPr>
        <w:t xml:space="preserve"> Football Club / Union </w:t>
      </w:r>
      <w:proofErr w:type="spellStart"/>
      <w:r w:rsidRPr="00AD2198">
        <w:rPr>
          <w:rStyle w:val="Italic"/>
          <w:lang w:val="pl-PL"/>
        </w:rPr>
        <w:t>royale</w:t>
      </w:r>
      <w:proofErr w:type="spellEnd"/>
      <w:r w:rsidRPr="00AD2198">
        <w:rPr>
          <w:rStyle w:val="Italic"/>
          <w:lang w:val="pl-PL"/>
        </w:rPr>
        <w:t xml:space="preserve"> </w:t>
      </w:r>
      <w:proofErr w:type="spellStart"/>
      <w:r w:rsidRPr="00AD2198">
        <w:rPr>
          <w:rStyle w:val="Italic"/>
          <w:lang w:val="pl-PL"/>
        </w:rPr>
        <w:t>belge</w:t>
      </w:r>
      <w:proofErr w:type="spellEnd"/>
      <w:r w:rsidRPr="00AD2198">
        <w:rPr>
          <w:rStyle w:val="Italic"/>
          <w:lang w:val="pl-PL"/>
        </w:rPr>
        <w:t xml:space="preserve"> des </w:t>
      </w:r>
      <w:proofErr w:type="spellStart"/>
      <w:r w:rsidRPr="00AD2198">
        <w:rPr>
          <w:rStyle w:val="Italic"/>
          <w:lang w:val="pl-PL"/>
        </w:rPr>
        <w:t>sociétés</w:t>
      </w:r>
      <w:proofErr w:type="spellEnd"/>
      <w:r w:rsidRPr="00AD2198">
        <w:rPr>
          <w:rStyle w:val="Italic"/>
          <w:lang w:val="pl-PL"/>
        </w:rPr>
        <w:t xml:space="preserve"> de football </w:t>
      </w:r>
      <w:proofErr w:type="spellStart"/>
      <w:r w:rsidRPr="00AD2198">
        <w:rPr>
          <w:rStyle w:val="Italic"/>
          <w:lang w:val="pl-PL"/>
        </w:rPr>
        <w:t>association</w:t>
      </w:r>
      <w:proofErr w:type="spellEnd"/>
      <w:r w:rsidR="00AD0A1F">
        <w:rPr>
          <w:rStyle w:val="FootnoteReference"/>
          <w:i/>
          <w:lang w:val="pl-PL"/>
        </w:rPr>
        <w:footnoteReference w:id="11"/>
      </w:r>
      <w:r w:rsidRPr="00AD2198">
        <w:rPr>
          <w:rStyle w:val="Italic"/>
          <w:lang w:val="pl-PL"/>
        </w:rPr>
        <w:t xml:space="preserve">, </w:t>
      </w:r>
      <w:r w:rsidRPr="00AD2198">
        <w:rPr>
          <w:lang w:val="pl-PL"/>
        </w:rPr>
        <w:t>C-333/21,</w:t>
      </w:r>
      <w:r w:rsidRPr="00AD2198">
        <w:rPr>
          <w:rStyle w:val="Italic"/>
          <w:lang w:val="pl-PL"/>
        </w:rPr>
        <w:t xml:space="preserve"> </w:t>
      </w:r>
      <w:proofErr w:type="spellStart"/>
      <w:r w:rsidRPr="00AD2198">
        <w:rPr>
          <w:rStyle w:val="Italic"/>
          <w:lang w:val="pl-PL"/>
        </w:rPr>
        <w:t>European</w:t>
      </w:r>
      <w:proofErr w:type="spellEnd"/>
      <w:r w:rsidRPr="00AD2198">
        <w:rPr>
          <w:rStyle w:val="Italic"/>
          <w:lang w:val="pl-PL"/>
        </w:rPr>
        <w:t xml:space="preserve"> </w:t>
      </w:r>
      <w:proofErr w:type="spellStart"/>
      <w:r w:rsidRPr="00AD2198">
        <w:rPr>
          <w:rStyle w:val="Italic"/>
          <w:lang w:val="pl-PL"/>
        </w:rPr>
        <w:t>Superleague</w:t>
      </w:r>
      <w:proofErr w:type="spellEnd"/>
      <w:r w:rsidRPr="00AD2198">
        <w:rPr>
          <w:rStyle w:val="Italic"/>
          <w:lang w:val="pl-PL"/>
        </w:rPr>
        <w:t xml:space="preserve"> Company / FIFA i UEFA</w:t>
      </w:r>
      <w:r w:rsidR="00AD0A1F">
        <w:rPr>
          <w:rStyle w:val="FootnoteReference"/>
          <w:i/>
          <w:lang w:val="pl-PL"/>
        </w:rPr>
        <w:footnoteReference w:id="12"/>
      </w:r>
      <w:r w:rsidR="00AD0A1F">
        <w:rPr>
          <w:rStyle w:val="Italic"/>
          <w:lang w:val="pl-PL"/>
        </w:rPr>
        <w:t xml:space="preserve"> </w:t>
      </w:r>
      <w:r w:rsidRPr="00AD2198">
        <w:rPr>
          <w:lang w:val="pl-PL"/>
        </w:rPr>
        <w:t xml:space="preserve">oraz C-650/22, </w:t>
      </w:r>
      <w:r w:rsidRPr="00AD2198">
        <w:rPr>
          <w:rStyle w:val="Italic"/>
          <w:lang w:val="pl-PL"/>
        </w:rPr>
        <w:t>FIFA / BZ</w:t>
      </w:r>
      <w:r w:rsidRPr="00AD2198">
        <w:rPr>
          <w:rStyle w:val="FootnoteReference"/>
          <w:lang w:val="pl-PL"/>
        </w:rPr>
        <w:footnoteReference w:id="13"/>
      </w:r>
      <w:r w:rsidRPr="00AD2198">
        <w:rPr>
          <w:lang w:val="pl-PL"/>
        </w:rPr>
        <w:t>,</w:t>
      </w:r>
    </w:p>
    <w:p w14:paraId="39AFF605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rezolucję Rady i przedstawicieli rządów państw członkowskich zebranych w Radzie z dnia 12 grudnia 2021 r. w sprawie kluczowych cech europejskiego modelu sportu</w:t>
      </w:r>
      <w:r w:rsidRPr="00AD2198">
        <w:rPr>
          <w:rStyle w:val="FootnoteReference"/>
          <w:lang w:val="pl-PL"/>
        </w:rPr>
        <w:footnoteReference w:id="14"/>
      </w:r>
      <w:r w:rsidRPr="00AD2198">
        <w:rPr>
          <w:lang w:val="pl-PL"/>
        </w:rPr>
        <w:t>,</w:t>
      </w:r>
    </w:p>
    <w:p w14:paraId="2E7DE1B4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art. 55 Regulaminu,</w:t>
      </w:r>
    </w:p>
    <w:p w14:paraId="2E487F99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–</w:t>
      </w:r>
      <w:r w:rsidRPr="00AD2198">
        <w:rPr>
          <w:lang w:val="pl-PL"/>
        </w:rPr>
        <w:tab/>
        <w:t>uwzględniając sprawozdanie Komisji Kultury i Edukacji (A10-0157/2025),</w:t>
      </w:r>
    </w:p>
    <w:p w14:paraId="2E53D5D1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A.</w:t>
      </w:r>
      <w:r w:rsidRPr="00AD2198">
        <w:rPr>
          <w:lang w:val="pl-PL"/>
        </w:rPr>
        <w:tab/>
        <w:t>mając na uwadze, że sport jest europejskim dobrem publicznym i coraz bardziej cennym europejskim atutem społecznym, gospodarczym, politycznym i kulturowym;</w:t>
      </w:r>
    </w:p>
    <w:p w14:paraId="613E8678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B.</w:t>
      </w:r>
      <w:r w:rsidRPr="00AD2198">
        <w:rPr>
          <w:lang w:val="pl-PL"/>
        </w:rPr>
        <w:tab/>
        <w:t>mając na uwadze, że sport i aktywność fizyczna odgrywają ważną rolę w życiu ludzi, gdyż łączą społeczności i jednostki oraz poprawiają zdrowie i dobrostan;</w:t>
      </w:r>
    </w:p>
    <w:p w14:paraId="36B997BD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C.</w:t>
      </w:r>
      <w:r w:rsidRPr="00AD2198">
        <w:rPr>
          <w:lang w:val="pl-PL"/>
        </w:rPr>
        <w:tab/>
        <w:t>mając na uwadze, że sport i aktywność fizyczna sprzyjają integracji i włączeniu społecznemu oraz dają poczucie wspólnoty, zwłaszcza w przypadku osób o mniejszych szansach;</w:t>
      </w:r>
    </w:p>
    <w:p w14:paraId="08FF07F4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D.</w:t>
      </w:r>
      <w:r w:rsidRPr="00AD2198">
        <w:rPr>
          <w:lang w:val="pl-PL"/>
        </w:rPr>
        <w:tab/>
        <w:t>mając na uwadze, że sport i aktywność fizyczna odgrywają kluczową rolę w propagowaniu wartości UE takich jak demokracja, szacunek, solidarność, różnorodność i równość;</w:t>
      </w:r>
    </w:p>
    <w:p w14:paraId="3AE0CA66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E.</w:t>
      </w:r>
      <w:r w:rsidRPr="00AD2198">
        <w:rPr>
          <w:lang w:val="pl-PL"/>
        </w:rPr>
        <w:tab/>
        <w:t xml:space="preserve">mając na uwadze, że europejski model sportu opiera się na kluczowych cechach, takich jak zasady solidarności, zrównoważonego rozwoju, uczciwości, </w:t>
      </w:r>
      <w:proofErr w:type="spellStart"/>
      <w:r w:rsidRPr="00AD2198">
        <w:rPr>
          <w:lang w:val="pl-PL"/>
        </w:rPr>
        <w:t>inkluzywności</w:t>
      </w:r>
      <w:proofErr w:type="spellEnd"/>
      <w:r w:rsidRPr="00AD2198">
        <w:rPr>
          <w:lang w:val="pl-PL"/>
        </w:rPr>
        <w:t>, osiągnięć sportowych, terytorialności i otwartej konkurencji;</w:t>
      </w:r>
    </w:p>
    <w:p w14:paraId="5CC16BB7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F.</w:t>
      </w:r>
      <w:r w:rsidRPr="00AD2198">
        <w:rPr>
          <w:lang w:val="pl-PL"/>
        </w:rPr>
        <w:tab/>
        <w:t>mając na uwadze, że konieczne jest zachowanie zdrowej równowagi między rozgrywkami z udziałem drużyn narodowych a rozgrywkami klubowymi;</w:t>
      </w:r>
    </w:p>
    <w:p w14:paraId="034E4252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G.</w:t>
      </w:r>
      <w:r w:rsidRPr="00AD2198">
        <w:rPr>
          <w:lang w:val="pl-PL"/>
        </w:rPr>
        <w:tab/>
        <w:t>mając na uwadze, że europejski model sportu obejmuje zarówno sport wyczynowy, jak i sport masowy;</w:t>
      </w:r>
    </w:p>
    <w:p w14:paraId="6C52FA69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H.</w:t>
      </w:r>
      <w:r w:rsidRPr="00AD2198">
        <w:rPr>
          <w:lang w:val="pl-PL"/>
        </w:rPr>
        <w:tab/>
        <w:t xml:space="preserve">mając na uwadze, że sport jest siłą </w:t>
      </w:r>
      <w:proofErr w:type="gramStart"/>
      <w:r w:rsidRPr="00AD2198">
        <w:rPr>
          <w:lang w:val="pl-PL"/>
        </w:rPr>
        <w:t>napędową polityki</w:t>
      </w:r>
      <w:proofErr w:type="gramEnd"/>
      <w:r w:rsidRPr="00AD2198">
        <w:rPr>
          <w:lang w:val="pl-PL"/>
        </w:rPr>
        <w:t xml:space="preserve"> spójności UE, zwłaszcza na obszarach wiejskich i w regionach oddalonych znajdujących się w niekorzystnej </w:t>
      </w:r>
      <w:r w:rsidRPr="00AD2198">
        <w:rPr>
          <w:lang w:val="pl-PL"/>
        </w:rPr>
        <w:lastRenderedPageBreak/>
        <w:t>sytuacji, w których występują wyzwania w postaci ograniczonych funduszy, niedostatecznej infrastruktury i coraz mniej licznego członkostwa;</w:t>
      </w:r>
    </w:p>
    <w:p w14:paraId="465D77F2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I.</w:t>
      </w:r>
      <w:r w:rsidRPr="00AD2198">
        <w:rPr>
          <w:lang w:val="pl-PL"/>
        </w:rPr>
        <w:tab/>
        <w:t>mając na uwadze, że większość przychodów ze sportu masowego opiera się na wpłatach obywateli, nieodpłatnej pracy wolontariuszy, wsparciu lokalnych firm i dotacjach z gmin;</w:t>
      </w:r>
    </w:p>
    <w:p w14:paraId="0ACF5BC1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J.</w:t>
      </w:r>
      <w:r w:rsidRPr="00AD2198">
        <w:rPr>
          <w:lang w:val="pl-PL"/>
        </w:rPr>
        <w:tab/>
        <w:t>mając na uwadze, że europejski model sportu obejmuje rozwój sportu kobiecego i promowanie równości płci w sporcie;</w:t>
      </w:r>
    </w:p>
    <w:p w14:paraId="4FFFB09D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K.</w:t>
      </w:r>
      <w:r w:rsidRPr="00AD2198">
        <w:rPr>
          <w:lang w:val="pl-PL"/>
        </w:rPr>
        <w:tab/>
        <w:t>mając na uwadze niepokojący spadek liczby wolontariuszy uczestniczących w sporcie masowym;</w:t>
      </w:r>
    </w:p>
    <w:p w14:paraId="1F27450A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L.</w:t>
      </w:r>
      <w:r w:rsidRPr="00AD2198">
        <w:rPr>
          <w:lang w:val="pl-PL"/>
        </w:rPr>
        <w:tab/>
        <w:t>mając na uwadze, że sportowcy często mierzą się z niewystarczającą ochroną socjalną i coraz bardziej napiętym kalendarzem wydarzeń sportowych i rozgrywek, a także z wyzwaniami związanymi z łączeniem edukacji i zatrudnienia z karierą sportową;</w:t>
      </w:r>
    </w:p>
    <w:p w14:paraId="4090477B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M.</w:t>
      </w:r>
      <w:r w:rsidRPr="00AD2198">
        <w:rPr>
          <w:lang w:val="pl-PL"/>
        </w:rPr>
        <w:tab/>
        <w:t>mając na uwadze, że niedawne wyroki TSUE stanowią okazję do tego, by w ramach polityki UE dodatkowo udoskonalić europejski model sportu;</w:t>
      </w:r>
    </w:p>
    <w:p w14:paraId="7A131205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N.</w:t>
      </w:r>
      <w:r w:rsidRPr="00AD2198">
        <w:rPr>
          <w:lang w:val="pl-PL"/>
        </w:rPr>
        <w:tab/>
        <w:t>mając na uwadze, że przed sportem stoją liczne wyzwania, w tym problemy związane z zarządzaniem, korupcją, ustawianiem wyników zawodów sportowych, dopingiem, piractwem i dyskryminacją;</w:t>
      </w:r>
    </w:p>
    <w:p w14:paraId="48A74FF0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O.</w:t>
      </w:r>
      <w:r w:rsidRPr="00AD2198">
        <w:rPr>
          <w:lang w:val="pl-PL"/>
        </w:rPr>
        <w:tab/>
        <w:t>mając na uwadze, że dochody utracone przez organizatorów wydarzeń sportowych z powodu piractwa internetowego treści sportowych nadawanych na żywo mogłyby zostać ponownie zainwestowane w unijny ekosystem sportowy;</w:t>
      </w:r>
    </w:p>
    <w:p w14:paraId="55B2896C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P.</w:t>
      </w:r>
      <w:r w:rsidRPr="00AD2198">
        <w:rPr>
          <w:lang w:val="pl-PL"/>
        </w:rPr>
        <w:tab/>
        <w:t>mając na uwadze, że istnieją nowe i ewoluujące tendencje w zakresie własności, wynikające między innymi z inwestycji zagranicznych i wielopodmiotowej własności w sporcie;</w:t>
      </w:r>
    </w:p>
    <w:p w14:paraId="3D4EC8E7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Q.</w:t>
      </w:r>
      <w:r w:rsidRPr="00AD2198">
        <w:rPr>
          <w:lang w:val="pl-PL"/>
        </w:rPr>
        <w:tab/>
        <w:t>mając na uwadze, że nadmierna komercjalizacja oraz fakt, że modele własności w sektorze rozrywki i zawody sportowe są nastawione wyłącznie na zysk, zagrażają równowadze konkurencyjnej i uczciwości w sporcie zawodowym;</w:t>
      </w:r>
    </w:p>
    <w:p w14:paraId="127E2980" w14:textId="77777777" w:rsidR="00706AAC" w:rsidRPr="00AD2198" w:rsidRDefault="00706AAC" w:rsidP="00706AAC">
      <w:pPr>
        <w:pStyle w:val="Normal12a24b"/>
        <w:rPr>
          <w:lang w:val="pl-PL"/>
        </w:rPr>
      </w:pPr>
      <w:r w:rsidRPr="00AD2198">
        <w:rPr>
          <w:rStyle w:val="BoldItalic"/>
          <w:lang w:val="pl-PL"/>
        </w:rPr>
        <w:t xml:space="preserve">Europejski model sportu: w służbie społeczeństwu i w dążeniu do większej </w:t>
      </w:r>
      <w:proofErr w:type="spellStart"/>
      <w:r w:rsidRPr="00AD2198">
        <w:rPr>
          <w:rStyle w:val="BoldItalic"/>
          <w:lang w:val="pl-PL"/>
        </w:rPr>
        <w:t>inkluzywności</w:t>
      </w:r>
      <w:proofErr w:type="spellEnd"/>
    </w:p>
    <w:p w14:paraId="0D0AD657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1.</w:t>
      </w:r>
      <w:r w:rsidRPr="00AD2198">
        <w:rPr>
          <w:lang w:val="pl-PL"/>
        </w:rPr>
        <w:tab/>
        <w:t>ponownie podkreśla swoje niezachwiane zaangażowanie na rzecz obrony europejskiego modelu sportu, w którym sport i aktywność fizyczna służą celom społecznym i wnoszą wkład w kluczowych obszarach polityki UE;</w:t>
      </w:r>
    </w:p>
    <w:p w14:paraId="73CD7BFA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2.</w:t>
      </w:r>
      <w:r w:rsidRPr="00AD2198">
        <w:rPr>
          <w:lang w:val="pl-PL"/>
        </w:rPr>
        <w:tab/>
        <w:t>uznaje, że należy chronić europejski model sportu poprzez zapewnienie ciągłego zrównoważonego rozwoju dyscyplin sportowych i aktywności fizycznej, od sportu masowego po sport wyczynowy oraz na szczeblu lokalnym, regionalnym, krajowym i europejskim;</w:t>
      </w:r>
    </w:p>
    <w:p w14:paraId="2D1A24C0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3.</w:t>
      </w:r>
      <w:r w:rsidRPr="00AD2198">
        <w:rPr>
          <w:lang w:val="pl-PL"/>
        </w:rPr>
        <w:tab/>
        <w:t xml:space="preserve">podkreśla, że należy nadal rozwijać europejski model sportu zgodnie z interesami obywateli oraz wartościami i priorytetami politycznymi UE, takimi jak równość, różnorodność, </w:t>
      </w:r>
      <w:proofErr w:type="spellStart"/>
      <w:r w:rsidRPr="00AD2198">
        <w:rPr>
          <w:lang w:val="pl-PL"/>
        </w:rPr>
        <w:t>inkluzywność</w:t>
      </w:r>
      <w:proofErr w:type="spellEnd"/>
      <w:r w:rsidRPr="00AD2198">
        <w:rPr>
          <w:lang w:val="pl-PL"/>
        </w:rPr>
        <w:t>, zrównoważony rozwój, zdrowie i dobrostan, europejski model społeczny oraz konkurencyjność UE;</w:t>
      </w:r>
    </w:p>
    <w:p w14:paraId="5F00A833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lastRenderedPageBreak/>
        <w:t>4.</w:t>
      </w:r>
      <w:r w:rsidRPr="00AD2198">
        <w:rPr>
          <w:lang w:val="pl-PL"/>
        </w:rPr>
        <w:tab/>
        <w:t xml:space="preserve">wzywa wszystkie zainteresowane strony do wzmożenia wysiłków na rzecz promowania bezpiecznego, </w:t>
      </w:r>
      <w:proofErr w:type="spellStart"/>
      <w:r w:rsidRPr="00AD2198">
        <w:rPr>
          <w:lang w:val="pl-PL"/>
        </w:rPr>
        <w:t>inkluzywnego</w:t>
      </w:r>
      <w:proofErr w:type="spellEnd"/>
      <w:r w:rsidRPr="00AD2198">
        <w:rPr>
          <w:lang w:val="pl-PL"/>
        </w:rPr>
        <w:t xml:space="preserve"> i sprawiedliwego sportu dostępnego dla wszystkich, ze szczególnym uwzględnieniem postępów w dziedzinie równouprawnienia płci, zwalczania wszelkich form przemocy, dyskryminacji i molestowania oraz poprawy dostępności infrastruktury sportowej;</w:t>
      </w:r>
    </w:p>
    <w:p w14:paraId="37418D30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5.</w:t>
      </w:r>
      <w:r w:rsidRPr="00AD2198">
        <w:rPr>
          <w:lang w:val="pl-PL"/>
        </w:rPr>
        <w:tab/>
        <w:t>podkreśla w związku z tym, że należy zapewnić włączenie osób z niepełnosprawnościami we wszystkie aspekty sportu, w tym ich zaangażowanie w procesy zarządzania i podejmowania decyzji;</w:t>
      </w:r>
    </w:p>
    <w:p w14:paraId="68D22A0D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6.</w:t>
      </w:r>
      <w:r w:rsidRPr="00AD2198">
        <w:rPr>
          <w:lang w:val="pl-PL"/>
        </w:rPr>
        <w:tab/>
        <w:t>podkreśla, że europejski model sportu musi opierać się na zasadzie sportu jako dobra publicznego, przy czym należy zadbać o to, aby inwestycje publiczne w sport przynosiły społeczeństwu korzyści w postaci integracji, zdrowia, edukacji i spójności społecznej;</w:t>
      </w:r>
    </w:p>
    <w:p w14:paraId="61A416BA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7.</w:t>
      </w:r>
      <w:r w:rsidRPr="00AD2198">
        <w:rPr>
          <w:lang w:val="pl-PL"/>
        </w:rPr>
        <w:tab/>
        <w:t>podkreśla, że aktywność fizyczna jest bardzo ważna dla wszystkich, bez względu na wiek, oraz wskazuje na jej bezpośrednie i długoterminowe korzyści dla zdrowia fizycznego i psychicznego, a także na jej wkład w rozwój i utrzymanie umiejętności społecznych i życiowych ludzi;</w:t>
      </w:r>
    </w:p>
    <w:p w14:paraId="6F08CDE3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8.</w:t>
      </w:r>
      <w:r w:rsidRPr="00AD2198">
        <w:rPr>
          <w:lang w:val="pl-PL"/>
        </w:rPr>
        <w:tab/>
        <w:t>podkreśla znaczenie promowania aktywności fizycznej wśród dzieci i młodzieży, w tym zaangażowania sportowców, w tym sportowców z niepełnosprawnościami, jako wzorców do naśladowania, oraz wzywa do większych inwestycji w niezbędną infrastrukturę sportową w szkołach, wysokiej jakości zajęcia wychowania fizycznego i pozalekcyjne programy sportowe;</w:t>
      </w:r>
    </w:p>
    <w:p w14:paraId="3FCF6205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9.</w:t>
      </w:r>
      <w:r w:rsidRPr="00AD2198">
        <w:rPr>
          <w:lang w:val="pl-PL"/>
        </w:rPr>
        <w:tab/>
        <w:t>podkreśla zapobiegawczą rolę sportu w radzeniu sobie z izolacją społeczną, przemocą i radykalizacją młodych ludzi oraz zaznacza, że należy ich chronić przed wszelkimi formami nadużyć w sporcie;</w:t>
      </w:r>
    </w:p>
    <w:p w14:paraId="11F02AAB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10.</w:t>
      </w:r>
      <w:r w:rsidRPr="00AD2198">
        <w:rPr>
          <w:lang w:val="pl-PL"/>
        </w:rPr>
        <w:tab/>
        <w:t>zwraca uwagę na kluczową rolę wolontariuszy w sporcie i wzywa Komisję do opracowania wspólnie z państwami członkowskimi zaleceń dotyczących wspierania wolontariatu w sporcie i zachęcania do niego, w tym wytycznych dotyczących przyciągania, uznawania i zatrzymywania wolontariuszy w sporcie, zarówno w przypadku sportu masowego, jak i zawodowego;</w:t>
      </w:r>
    </w:p>
    <w:p w14:paraId="45A19539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11.</w:t>
      </w:r>
      <w:r w:rsidRPr="00AD2198">
        <w:rPr>
          <w:lang w:val="pl-PL"/>
        </w:rPr>
        <w:tab/>
        <w:t>przyznaje, że sport masowy w Europie charakteryzuje się silnym zaangażowaniem społeczeństwa obywatelskiego poprzez kluby i stowarzyszenia zakorzenione w społeczności, które opierają się na wolontariacie;</w:t>
      </w:r>
    </w:p>
    <w:p w14:paraId="62E680E6" w14:textId="77777777" w:rsidR="00706AAC" w:rsidRPr="00AD2198" w:rsidRDefault="00706AAC" w:rsidP="00706AAC">
      <w:pPr>
        <w:pStyle w:val="Normal12a24b"/>
        <w:rPr>
          <w:lang w:val="pl-PL"/>
        </w:rPr>
      </w:pPr>
      <w:r w:rsidRPr="00AD2198">
        <w:rPr>
          <w:rStyle w:val="BoldItalic"/>
          <w:lang w:val="pl-PL"/>
        </w:rPr>
        <w:t xml:space="preserve">Europejski model sportu: w służbie unijnym wartościom i solidarności </w:t>
      </w:r>
    </w:p>
    <w:p w14:paraId="3FEBE58D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12.</w:t>
      </w:r>
      <w:r w:rsidRPr="00AD2198">
        <w:rPr>
          <w:lang w:val="pl-PL"/>
        </w:rPr>
        <w:tab/>
        <w:t>podkreśla fundamentalne znaczenie zasady solidarności dla dopilnowania, by sport promował i wspierał interes ogółu, a nie zyski nielicznych, i ponownie podkreśla, że należy zacieśnić więzi między sportem zawodowym a sportem masowym przy wykorzystaniu skuteczniejszych mechanizmów solidarności finansowej, by zapewnić jego optymalny rozwój;</w:t>
      </w:r>
    </w:p>
    <w:p w14:paraId="57D21E93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13.</w:t>
      </w:r>
      <w:r w:rsidRPr="00AD2198">
        <w:rPr>
          <w:lang w:val="pl-PL"/>
        </w:rPr>
        <w:tab/>
        <w:t xml:space="preserve">wzywa Komisję, aby zachęcała organy zarządzające sportem do wdrażania mechanizmów i strategii politycznych na rzecz rozwoju młodzieży, w celu nagradzania klubów szkolących zawodników, którzy przyczyniają się do ciągłego sukcesu </w:t>
      </w:r>
      <w:r w:rsidRPr="00AD2198">
        <w:rPr>
          <w:lang w:val="pl-PL"/>
        </w:rPr>
        <w:lastRenderedPageBreak/>
        <w:t>rozgrywek zawodowych, zapewniając tym samym długoterminową konkurencyjność sektora sportu;</w:t>
      </w:r>
    </w:p>
    <w:p w14:paraId="32EBCAC4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14.</w:t>
      </w:r>
      <w:r w:rsidRPr="00AD2198">
        <w:rPr>
          <w:lang w:val="pl-PL"/>
        </w:rPr>
        <w:tab/>
        <w:t>wzywa Komisję do przedstawienia analizy opisującej istniejące mechanizmy solidarności finansowej i systemy redystrybucji obejmujące różne dyscypliny sportowe i poziomy w UE, wraz z zaleceniami dotyczącymi ich dalszego rozwoju;</w:t>
      </w:r>
    </w:p>
    <w:p w14:paraId="1ACE811F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15.</w:t>
      </w:r>
      <w:r w:rsidRPr="00AD2198">
        <w:rPr>
          <w:lang w:val="pl-PL"/>
        </w:rPr>
        <w:tab/>
        <w:t>wzywa zatem Komisję, by wspierała pewność prawa dla organów zarządzających sportem oraz by przeanalizowała potrzebę wprowadzenia mechanizmów redystrybucji między dużymi i małymi ligami, klubami lub rozgrywkami oraz w różnych dyscyplinach, w tym w sporcie młodzieżowym;</w:t>
      </w:r>
    </w:p>
    <w:p w14:paraId="7F3C3369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16.</w:t>
      </w:r>
      <w:r w:rsidRPr="00AD2198">
        <w:rPr>
          <w:lang w:val="pl-PL"/>
        </w:rPr>
        <w:tab/>
        <w:t>podkreśla, że należy znacznie zwiększyć finansowanie sportu i aktywności fizycznej, zwłaszcza w ramach nowego programu Erasmus+ na lata 2028–2034, zgodnie z istniejącymi priorytetami horyzontalnymi, oraz wspierać dalsze synergie między innymi programami i funduszami;</w:t>
      </w:r>
    </w:p>
    <w:p w14:paraId="438D4957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17.</w:t>
      </w:r>
      <w:r w:rsidRPr="00AD2198">
        <w:rPr>
          <w:lang w:val="pl-PL"/>
        </w:rPr>
        <w:tab/>
        <w:t>uznaje potencjalną sztandarową rolę programu Erasmus+ we wspieraniu finansowym organizacji sportu masowego oraz pozytywny wpływ programu na obywateli i społeczeństwo;</w:t>
      </w:r>
    </w:p>
    <w:p w14:paraId="1E4374BC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18.</w:t>
      </w:r>
      <w:r w:rsidRPr="00AD2198">
        <w:rPr>
          <w:lang w:val="pl-PL"/>
        </w:rPr>
        <w:tab/>
        <w:t>wzywa Komisję do opracowania dostępnych i znaczących systemów finansowania klubów i organizacji sportowych, z jasnymi i dostępnymi mechanizmami, dzięki którym fundusze przeznaczone na te kluby i organizacje dotrą do najniższego szczebla;</w:t>
      </w:r>
    </w:p>
    <w:p w14:paraId="1CE219E1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19.</w:t>
      </w:r>
      <w:r w:rsidRPr="00AD2198">
        <w:rPr>
          <w:lang w:val="pl-PL"/>
        </w:rPr>
        <w:tab/>
        <w:t>wzywa Komisję i państwa członkowskie do wspierania inwestycji w bezpieczną i dostępną infrastrukturę sportową na wszystkich szczeblach za pośrednictwem funduszy UE, takich jak Europejski Fundusz Rozwoju Regionalnego, ze szczególnym uwzględnieniem obszarów wiejskich i dzielnic miejskich znajdujących się w niekorzystnej sytuacji;</w:t>
      </w:r>
    </w:p>
    <w:p w14:paraId="29078E74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20.</w:t>
      </w:r>
      <w:r w:rsidRPr="00AD2198">
        <w:rPr>
          <w:lang w:val="pl-PL"/>
        </w:rPr>
        <w:tab/>
        <w:t>uważa, że przepisy dotyczące stabilności finansowej mają zasadnicze znaczenie w sporcie, aby zapewnić długoterminową rentowność i uczciwość sportu zawodowego w UE; zachęca Komisję i państwa członkowskie do promowania spójnych standardów zarządzania finansami we wszystkich dyscyplinach sportu zawodowego oraz podkreśla, że należy skutecznie egzekwować i aktualizować te środki, w tym sprawować odpowiedni nadzór nad wynagrodzeniami sportowców;</w:t>
      </w:r>
    </w:p>
    <w:p w14:paraId="21F0B715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21.</w:t>
      </w:r>
      <w:r w:rsidRPr="00AD2198">
        <w:rPr>
          <w:lang w:val="pl-PL"/>
        </w:rPr>
        <w:tab/>
        <w:t>wzywa państwa członkowskie, by nadal domagały się, aby przyznawanie praw do organizacji dużych imprez sportowych opierało się na osiągnięciach oraz aby gospodarze, organizatorzy i sponsorzy dużych imprez sportowych przestrzegali wartości europejskiego modelu sportu, w tym praw człowieka, wartości demokratycznych i zrównoważonego rozwoju;</w:t>
      </w:r>
    </w:p>
    <w:p w14:paraId="2AAC6A49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22.</w:t>
      </w:r>
      <w:r w:rsidRPr="00AD2198">
        <w:rPr>
          <w:lang w:val="pl-PL"/>
        </w:rPr>
        <w:tab/>
        <w:t>wzywa Komisję i państwa członkowskie do wspierania odpowiedzialności za środowisko i przystosowania sportu do zmiany klimatu, co obejmuje zrównoważone zarządzanie sprzętem i infrastrukturą sportową, organizację wydarzeń w sposób zapewniający jak najmniejszą emisję dwutlenku węgla oraz edukację ekologiczną poprzez sport;</w:t>
      </w:r>
    </w:p>
    <w:p w14:paraId="33763B33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23.</w:t>
      </w:r>
      <w:r w:rsidRPr="00AD2198">
        <w:rPr>
          <w:lang w:val="pl-PL"/>
        </w:rPr>
        <w:tab/>
        <w:t xml:space="preserve">zwraca uwagę na tendencję wzrostową do zagranicznych inwestycji i własności zagranicznej w europejskim sporcie oraz wzywa Komisję do rozważenia wpływu tej </w:t>
      </w:r>
      <w:r w:rsidRPr="00AD2198">
        <w:rPr>
          <w:lang w:val="pl-PL"/>
        </w:rPr>
        <w:lastRenderedPageBreak/>
        <w:t>tendencji przy wspieraniu działań na rzecz ochrony integralności finansowej i równowagi konkurencyjnej europejskiego sportu;</w:t>
      </w:r>
    </w:p>
    <w:p w14:paraId="59C9F4B5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24.</w:t>
      </w:r>
      <w:r w:rsidRPr="00AD2198">
        <w:rPr>
          <w:lang w:val="pl-PL"/>
        </w:rPr>
        <w:tab/>
        <w:t>dostrzega ryzyko przestępczości zorganizowanej i finansowej w sporcie oraz uważa, że należy ściśle zagwarantować należytą staranność w odniesieniu do inwestycji i własności w europejskim sporcie, w tym poprzez objęcie sportu zawodowego unijnymi ramami przeciwdziałania praniu pieniędzy;</w:t>
      </w:r>
    </w:p>
    <w:p w14:paraId="33BDB426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25.</w:t>
      </w:r>
      <w:r w:rsidRPr="00AD2198">
        <w:rPr>
          <w:lang w:val="pl-PL"/>
        </w:rPr>
        <w:tab/>
        <w:t xml:space="preserve">potępia wszelkie formy ustawiania wyników zawodów sportowych, co podważa uczciwość i zasadę fair </w:t>
      </w:r>
      <w:proofErr w:type="spellStart"/>
      <w:r w:rsidRPr="00AD2198">
        <w:rPr>
          <w:lang w:val="pl-PL"/>
        </w:rPr>
        <w:t>play</w:t>
      </w:r>
      <w:proofErr w:type="spellEnd"/>
      <w:r w:rsidRPr="00AD2198">
        <w:rPr>
          <w:lang w:val="pl-PL"/>
        </w:rPr>
        <w:t>, oraz wzywa państwa członkowskie i organy sportowe do wzmocnienia środków zapobiegawczych poprzez wzmożone monitorowanie, kampanie edukacyjne i współpracę z organami ścigania;</w:t>
      </w:r>
    </w:p>
    <w:p w14:paraId="0FB4DAF7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26.</w:t>
      </w:r>
      <w:r w:rsidRPr="00AD2198">
        <w:rPr>
          <w:lang w:val="pl-PL"/>
        </w:rPr>
        <w:tab/>
        <w:t>wzywa Radę do przełamania impasu w kwestii podpisania i ratyfikacji konwencji Rady Europy w sprawie zwalczania manipulacji rozgrywkami sportowymi;</w:t>
      </w:r>
    </w:p>
    <w:p w14:paraId="2841024F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27.</w:t>
      </w:r>
      <w:r w:rsidRPr="00AD2198">
        <w:rPr>
          <w:lang w:val="pl-PL"/>
        </w:rPr>
        <w:tab/>
        <w:t>podkreśla, że należy zająć się na szczeblu UE narastającym problemem dopingu na wszystkich poziomach sportu, wykorzystując do tego kampanie edukacyjne i uświadamiające;</w:t>
      </w:r>
    </w:p>
    <w:p w14:paraId="61025C9A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28.</w:t>
      </w:r>
      <w:r w:rsidRPr="00AD2198">
        <w:rPr>
          <w:lang w:val="pl-PL"/>
        </w:rPr>
        <w:tab/>
        <w:t>zachęca Komisję i państwa członkowskie do zintensyfikowania działań przeciwko piractwu internetowemu i wzywa Komisję do przedstawienia wniosku dotyczącego ukierunkowanych przepisów w celu rozwiązania problemu piractwa internetowego dotyczącego sportu i innych treści nadawanych na żywo, w tym przez wzmocnienie cyfrowych mechanizmów egzekwowania, stosowanie wymogów zasady „znaj swojego klienta biznesowego”, promowanie współpracy z platformami internetowymi i podnoszenie świadomości wśród konsumentów;</w:t>
      </w:r>
    </w:p>
    <w:p w14:paraId="32A759DC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29.</w:t>
      </w:r>
      <w:r w:rsidRPr="00AD2198">
        <w:rPr>
          <w:lang w:val="pl-PL"/>
        </w:rPr>
        <w:tab/>
        <w:t xml:space="preserve">podkreśla wzrost zjawiska dynamicznego ustalania cen biletów, co może utrudniać dostęp do imprez sportowych w </w:t>
      </w:r>
      <w:proofErr w:type="gramStart"/>
      <w:r w:rsidRPr="00AD2198">
        <w:rPr>
          <w:lang w:val="pl-PL"/>
        </w:rPr>
        <w:t>Europie,</w:t>
      </w:r>
      <w:proofErr w:type="gramEnd"/>
      <w:r w:rsidRPr="00AD2198">
        <w:rPr>
          <w:lang w:val="pl-PL"/>
        </w:rPr>
        <w:t xml:space="preserve"> i wzywa do ścisłego monitorowania przestrzegania przez uczestników rynku przepisów UE;</w:t>
      </w:r>
    </w:p>
    <w:p w14:paraId="592F2590" w14:textId="77777777" w:rsidR="00706AAC" w:rsidRPr="00AD2198" w:rsidRDefault="00706AAC" w:rsidP="00706AAC">
      <w:pPr>
        <w:pStyle w:val="Normal12a24b"/>
        <w:rPr>
          <w:lang w:val="pl-PL"/>
        </w:rPr>
      </w:pPr>
      <w:r w:rsidRPr="00AD2198">
        <w:rPr>
          <w:rStyle w:val="BoldItalic"/>
          <w:lang w:val="pl-PL"/>
        </w:rPr>
        <w:t xml:space="preserve">Europejski model sportu: promowanie zbiorowego zarządzania, praw sportowców i głosu kibiców </w:t>
      </w:r>
    </w:p>
    <w:p w14:paraId="00C0DA96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30.</w:t>
      </w:r>
      <w:r w:rsidRPr="00AD2198">
        <w:rPr>
          <w:lang w:val="pl-PL"/>
        </w:rPr>
        <w:tab/>
        <w:t>uznaje, że warunkiem zapewnienia autonomii sportu jest dobre zarządzanie, i wzywa międzynarodowe, europejskie i krajowe organizacje sportowe, a także organizacje reprezentujące zainteresowane strony do wdrożenia najwyższych standardów zarządzania, uczciwości i przejrzystości wraz z odpowiednimi mechanizmami kontroli i równowagi, aby zapewnić rozliczalność;</w:t>
      </w:r>
    </w:p>
    <w:p w14:paraId="018E54BC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31.</w:t>
      </w:r>
      <w:r w:rsidRPr="00AD2198">
        <w:rPr>
          <w:lang w:val="pl-PL"/>
        </w:rPr>
        <w:tab/>
        <w:t>zachęca Komisję do przeglądu skuteczności i spójności obecnych środków UE w tych dziedzinach oraz do opracowania ukierunkowanych działań i reakcji politycznych w celu sprostania utrzymującym się wyzwaniom;</w:t>
      </w:r>
    </w:p>
    <w:p w14:paraId="4C55522A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32.</w:t>
      </w:r>
      <w:r w:rsidRPr="00AD2198">
        <w:rPr>
          <w:lang w:val="pl-PL"/>
        </w:rPr>
        <w:tab/>
        <w:t>apeluje ponadto o współpracę między organizacjami sportowymi a organami publicznymi w celu utrzymania tych standardów i dopilnowania, aby sport pozostał przestrzenią godną zaufania, bezpieczną i etyczną dla wszystkich uczestników;</w:t>
      </w:r>
    </w:p>
    <w:p w14:paraId="003DFE7F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lastRenderedPageBreak/>
        <w:t>33.</w:t>
      </w:r>
      <w:r w:rsidRPr="00AD2198">
        <w:rPr>
          <w:lang w:val="pl-PL"/>
        </w:rPr>
        <w:tab/>
        <w:t>podkreśla, jak ważne jest dopilnowanie, aby wszystkie instytucje, organy zarządzające sportem i zainteresowane strony stosowały się do zasad określonych w orzecznictwie TSUE w dziedzinie sportu;</w:t>
      </w:r>
    </w:p>
    <w:p w14:paraId="65590236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34.</w:t>
      </w:r>
      <w:r w:rsidRPr="00AD2198">
        <w:rPr>
          <w:lang w:val="pl-PL"/>
        </w:rPr>
        <w:tab/>
        <w:t xml:space="preserve">z zadowoleniem przyjmuje wysiłki podejmowane przez organy zarządzające w zakresie zbiorowego zarządzania i zachęca do dalszych działań na rzecz wzmocnienia reprezentacji zainteresowanych stron w procesie decyzyjnym, </w:t>
      </w:r>
      <w:proofErr w:type="gramStart"/>
      <w:r w:rsidRPr="00AD2198">
        <w:rPr>
          <w:lang w:val="pl-PL"/>
        </w:rPr>
        <w:t>ze</w:t>
      </w:r>
      <w:proofErr w:type="gramEnd"/>
      <w:r w:rsidRPr="00AD2198">
        <w:rPr>
          <w:lang w:val="pl-PL"/>
        </w:rPr>
        <w:t xml:space="preserve"> szczególnym zobowiązaniem do zapewnienia zaangażowania sportowców i kibiców;</w:t>
      </w:r>
    </w:p>
    <w:p w14:paraId="22B6B4AD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35.</w:t>
      </w:r>
      <w:r w:rsidRPr="00AD2198">
        <w:rPr>
          <w:lang w:val="pl-PL"/>
        </w:rPr>
        <w:tab/>
        <w:t>wzywa organy zarządzające sportem do wdrożenia środków dotyczących równości, różnorodności i włączenia, w szczególności do zajęcia się problemem utrzymującej się niewystarczającej reprezentacji kobiet na stanowiskach kierowniczych;</w:t>
      </w:r>
    </w:p>
    <w:p w14:paraId="563E17A7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36.</w:t>
      </w:r>
      <w:r w:rsidRPr="00AD2198">
        <w:rPr>
          <w:lang w:val="pl-PL"/>
        </w:rPr>
        <w:tab/>
        <w:t>podkreśla potrzebę stosowania norm i kontroli reprezentatywności jako warunku wstępnego zaangażowania organizacji zainteresowanych stron w procesy zarządzania;</w:t>
      </w:r>
    </w:p>
    <w:p w14:paraId="271E5476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37.</w:t>
      </w:r>
      <w:r w:rsidRPr="00AD2198">
        <w:rPr>
          <w:lang w:val="pl-PL"/>
        </w:rPr>
        <w:tab/>
        <w:t>wzywa Komisję do promowania dialogu społecznego w sporcie jako kluczowego procesu decyzyjnego, zgodnego z zasadami dobrego zarządzania, oraz do poprawy reprezentatywności i włączenia w sporcie;</w:t>
      </w:r>
    </w:p>
    <w:p w14:paraId="519AF0D5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38.</w:t>
      </w:r>
      <w:r w:rsidRPr="00AD2198">
        <w:rPr>
          <w:lang w:val="pl-PL"/>
        </w:rPr>
        <w:tab/>
        <w:t>proponuje, aby Komisja skonsultowała się z odpowiednimi zainteresowanymi stronami w sprawie ustanowienia unijnego komitetu sektorowego dialogu społecznego ds. sportu zawodowego;</w:t>
      </w:r>
    </w:p>
    <w:p w14:paraId="4015FD89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39.</w:t>
      </w:r>
      <w:r w:rsidRPr="00AD2198">
        <w:rPr>
          <w:lang w:val="pl-PL"/>
        </w:rPr>
        <w:tab/>
        <w:t>wzywa instytucje UE do ochrony i promowania, a państwa członkowskie do wdrożenia praw podstawowych sportowców i innych pracowników sektora sportu, w tym praw socjalnych i ochrony socjalnej, takich jak wolność zrzeszania się, rokowania zbiorowe, niedyskryminacja, godne warunki pracy, środki bezpieczeństwa oraz zdrowie w miejscu pracy, zwłaszcza w odniesieniu do ciąży i urlopu macierzyńskiego;</w:t>
      </w:r>
    </w:p>
    <w:p w14:paraId="26AC48AA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40.</w:t>
      </w:r>
      <w:r w:rsidRPr="00AD2198">
        <w:rPr>
          <w:lang w:val="pl-PL"/>
        </w:rPr>
        <w:tab/>
        <w:t>podkreśla, że należy proaktywnie zarządzać ryzykiem przy opracowywaniu i nadzorowaniu polityki bezpieczeństwa i higieny pracy, w tym takich czynników jak podróże, kalendarze rozgrywek i nakładanie się na siebie zawodów sportowych;</w:t>
      </w:r>
    </w:p>
    <w:p w14:paraId="3A6C57B5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41.</w:t>
      </w:r>
      <w:r w:rsidRPr="00AD2198">
        <w:rPr>
          <w:lang w:val="pl-PL"/>
        </w:rPr>
        <w:tab/>
        <w:t>apeluje do instytucji i państw członkowskich Unii o dalsze wspieranie inicjatyw związanych z podwójną karierą, uczeniem się przez całe życie, okresem po przejściu na emeryturę, rozwojem osobistym i zdrowiem psychicznym sportowców, we współpracy z odpowiednimi organizacjami takimi jak komisje i stowarzyszenia sportowców;</w:t>
      </w:r>
    </w:p>
    <w:p w14:paraId="696D8C33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42.</w:t>
      </w:r>
      <w:r w:rsidRPr="00AD2198">
        <w:rPr>
          <w:lang w:val="pl-PL"/>
        </w:rPr>
        <w:tab/>
        <w:t>podkreśla, że kalendarze wydarzeń sportowych stały się bardziej napięte ze względu na wzrost liczby meczów i rozgrywek europejskich i międzynarodowych, oraz wzywa do zaangażowania wszystkich zainteresowanych stron w procesy decyzyjne związane z kalendarzem, aby uniknąć sytuacji, w której wydarzenia by ze sobą kolidowały;</w:t>
      </w:r>
    </w:p>
    <w:p w14:paraId="2AA86B60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43.</w:t>
      </w:r>
      <w:r w:rsidRPr="00AD2198">
        <w:rPr>
          <w:lang w:val="pl-PL"/>
        </w:rPr>
        <w:tab/>
        <w:t>popiera prawo sportowców do swobodnego reprezentowania ich krajów i podkreśla, że kluby powinny być zobowiązane do zwalniania sportowców z obowiązków po to, by mogli uczestniczyć w drużynach krajowych;</w:t>
      </w:r>
    </w:p>
    <w:p w14:paraId="1A2C1C77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44.</w:t>
      </w:r>
      <w:r w:rsidRPr="00AD2198">
        <w:rPr>
          <w:lang w:val="pl-PL"/>
        </w:rPr>
        <w:tab/>
        <w:t>apeluje do organów zarządzających sportem o niedopuszczanie do rozgrywek krajowych poza granicami państw;</w:t>
      </w:r>
    </w:p>
    <w:p w14:paraId="294CCBDC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lastRenderedPageBreak/>
        <w:t>45.</w:t>
      </w:r>
      <w:r w:rsidRPr="00AD2198">
        <w:rPr>
          <w:lang w:val="pl-PL"/>
        </w:rPr>
        <w:tab/>
        <w:t>uznaje znaczenie organizacji międzynarodowych w zapewnianiu przejrzystego i sprawiedliwego systemu transferowego, zgodnie z prawem UE i specyfiką europejską, oraz apeluje o położenie dużego nacisku na ochronę praw sportowców we wszystkich dyscyplinach, ze szczególnym uwzględnieniem osób małoletnich;</w:t>
      </w:r>
    </w:p>
    <w:p w14:paraId="02358D78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46.</w:t>
      </w:r>
      <w:r w:rsidRPr="00AD2198">
        <w:rPr>
          <w:lang w:val="pl-PL"/>
        </w:rPr>
        <w:tab/>
        <w:t>zwraca uwagę na znaczącą rolę agentów lub pośredników sportowych oraz na brak równowagi w stosunkach, jakie mogą istnieć między nimi a młodymi sportowcami, a także podkreśla, że należy stosować podejście oparte na przepisach;</w:t>
      </w:r>
    </w:p>
    <w:p w14:paraId="5B80E033" w14:textId="77777777" w:rsidR="00706AAC" w:rsidRPr="00AD2198" w:rsidRDefault="00706AAC" w:rsidP="00706AAC">
      <w:pPr>
        <w:pStyle w:val="Normal12a24b"/>
        <w:rPr>
          <w:lang w:val="pl-PL"/>
        </w:rPr>
      </w:pPr>
      <w:r w:rsidRPr="00AD2198">
        <w:rPr>
          <w:rStyle w:val="BoldItalic"/>
          <w:lang w:val="pl-PL"/>
        </w:rPr>
        <w:t xml:space="preserve">Europejski model sportu: jak polityka UE może przyczynić się do jego wzmocnienia i ochrony </w:t>
      </w:r>
    </w:p>
    <w:p w14:paraId="7A25F9CA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47.</w:t>
      </w:r>
      <w:r w:rsidRPr="00AD2198">
        <w:rPr>
          <w:lang w:val="pl-PL"/>
        </w:rPr>
        <w:tab/>
        <w:t>wzywa Komisję, by w odpowiedzi na silny impuls polityczny ze strony państw członkowskich i instytucji UE przedstawiła długoterminową strategię dotyczącą polityki w dziedzinie sportu i aktywności fizycznej skoncentrowaną na najważniejszych aspektach europejskiego modelu sportu oraz by zaproponowała konkretne działania w tym zakresie;</w:t>
      </w:r>
    </w:p>
    <w:p w14:paraId="1DECB57E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48.</w:t>
      </w:r>
      <w:r w:rsidRPr="00AD2198">
        <w:rPr>
          <w:lang w:val="pl-PL"/>
        </w:rPr>
        <w:tab/>
        <w:t>z zadowoleniem przyjmuje dotychczasowy dialog dotyczący polityki w dziedzinie sportu i wzywa Komisję do zapewnienia aktywnego uczestnictwa w dyskusjach na szczeblu unijnym, krajowym i lokalnym, z udziałem wszystkich właściwych zainteresowanych stron w procesie kształtowania długoterminowych strategii;</w:t>
      </w:r>
    </w:p>
    <w:p w14:paraId="1CFB6709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49.</w:t>
      </w:r>
      <w:r w:rsidRPr="00AD2198">
        <w:rPr>
          <w:lang w:val="pl-PL"/>
        </w:rPr>
        <w:tab/>
        <w:t>wzywa Komisję i państwa członkowskie do wspierania gromadzenia danych i kształtowania polityki opartej na dowodach, aby wzmocnić rolę sportu jako czynnika realizacji celów polityki UE;</w:t>
      </w:r>
    </w:p>
    <w:p w14:paraId="73AC89F3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50.</w:t>
      </w:r>
      <w:r w:rsidRPr="00AD2198">
        <w:rPr>
          <w:lang w:val="pl-PL"/>
        </w:rPr>
        <w:tab/>
        <w:t>wzywa Komisję, by stała na straży traktatów w jednym z najważniejszych sektorów społecznych i gospodarczych UE i by aktywnie monitorowała na wszystkich poziomach zagrożenia dla europejskiego modelu sportu opartego na wartościach, w tym rozgrywki niezgodne z tym modelem, które zagrażają całemu ekosystemowi sportowemu, oraz by przeciwdziałała tym zagrożeniom;</w:t>
      </w:r>
    </w:p>
    <w:p w14:paraId="3D352CA2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51.</w:t>
      </w:r>
      <w:r w:rsidRPr="00AD2198">
        <w:rPr>
          <w:lang w:val="pl-PL"/>
        </w:rPr>
        <w:tab/>
        <w:t>zachęca Komisję do wykorzystywania wszelkich odpowiednich narzędzi, jakimi dysponuje, w celu ochrony europejskiego sektora sportowego przed inicjatywami zmierzającymi do jego osłabienia i przeniesienia tworzonej przez niego wartości poza Europę;</w:t>
      </w:r>
    </w:p>
    <w:p w14:paraId="3BFE1858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52.</w:t>
      </w:r>
      <w:r w:rsidRPr="00AD2198">
        <w:rPr>
          <w:lang w:val="pl-PL"/>
        </w:rPr>
        <w:tab/>
        <w:t>potwierdza szczególny charakter sportu przy jednoczesnym poszanowaniu prawa UE i uznaje, że nie istnieje uniwersalne rozwiązanie dotyczące stosowania europejskiego modelu sportu w różnych dyscyplinach sportowych;</w:t>
      </w:r>
    </w:p>
    <w:p w14:paraId="1DF8CB7A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53.</w:t>
      </w:r>
      <w:r w:rsidRPr="00AD2198">
        <w:rPr>
          <w:lang w:val="pl-PL"/>
        </w:rPr>
        <w:tab/>
        <w:t>podkreśla w związku z tym, że należy chronić wertykalny charakter europejskiego modelu sportu, zgodnie z którym promocja i relegacja odbywają się na szczeblu krajowym, a roczne wyniki w ligach krajowych są jedynym kryterium kwalifikowania się do zawodów europejskich;</w:t>
      </w:r>
    </w:p>
    <w:p w14:paraId="6CA2C330" w14:textId="77777777" w:rsidR="00706AAC" w:rsidRPr="00AD2198" w:rsidRDefault="00706AAC" w:rsidP="00706AAC">
      <w:pPr>
        <w:pStyle w:val="NormalHanging12a"/>
        <w:rPr>
          <w:lang w:val="pl-PL"/>
        </w:rPr>
      </w:pPr>
      <w:r w:rsidRPr="00AD2198">
        <w:rPr>
          <w:lang w:val="pl-PL"/>
        </w:rPr>
        <w:t>54.</w:t>
      </w:r>
      <w:r w:rsidRPr="00AD2198">
        <w:rPr>
          <w:lang w:val="pl-PL"/>
        </w:rPr>
        <w:tab/>
        <w:t>wzywa Komisję, by przedstawiła jasne wytyczne w sprawie stosowania prawa UE, w tym prawa konkurencji, w sektorze sportu, również w świetle niedawnych orzeczeń TSUE;</w:t>
      </w:r>
    </w:p>
    <w:p w14:paraId="3B26E74C" w14:textId="77777777" w:rsidR="00706AAC" w:rsidRPr="00AD2198" w:rsidRDefault="00706AAC" w:rsidP="00706AAC">
      <w:pPr>
        <w:pStyle w:val="NormalCenter12a"/>
        <w:rPr>
          <w:lang w:val="pl-PL"/>
        </w:rPr>
      </w:pPr>
      <w:r w:rsidRPr="00AD2198">
        <w:rPr>
          <w:lang w:val="pl-PL"/>
        </w:rPr>
        <w:lastRenderedPageBreak/>
        <w:t>°</w:t>
      </w:r>
    </w:p>
    <w:p w14:paraId="5E8426F3" w14:textId="77777777" w:rsidR="00706AAC" w:rsidRPr="00AD2198" w:rsidRDefault="00706AAC" w:rsidP="00706AAC">
      <w:pPr>
        <w:pStyle w:val="NormalCenter12a"/>
        <w:rPr>
          <w:lang w:val="pl-PL"/>
        </w:rPr>
      </w:pPr>
      <w:r w:rsidRPr="00AD2198">
        <w:rPr>
          <w:lang w:val="pl-PL"/>
        </w:rPr>
        <w:t>°</w:t>
      </w:r>
      <w:r w:rsidRPr="00AD2198">
        <w:rPr>
          <w:lang w:val="pl-PL"/>
        </w:rPr>
        <w:tab/>
        <w:t>°</w:t>
      </w:r>
    </w:p>
    <w:p w14:paraId="0ED7180A" w14:textId="1DAC48E7" w:rsidR="00AD2198" w:rsidRPr="00595BFE" w:rsidRDefault="00706AAC" w:rsidP="00AD2198">
      <w:pPr>
        <w:pStyle w:val="NormalHanging12a"/>
        <w:rPr>
          <w:lang w:val="pl-PL"/>
        </w:rPr>
      </w:pPr>
      <w:r w:rsidRPr="00AD2198">
        <w:rPr>
          <w:lang w:val="pl-PL"/>
        </w:rPr>
        <w:t>55.</w:t>
      </w:r>
      <w:r w:rsidRPr="00AD2198">
        <w:rPr>
          <w:lang w:val="pl-PL"/>
        </w:rPr>
        <w:tab/>
        <w:t>zobowiązuje swoją przewodniczącą do przekazania niniejszej rezolucji Radzie i Komisji.</w:t>
      </w:r>
    </w:p>
    <w:p w14:paraId="0E325B0F" w14:textId="28D9C64C" w:rsidR="00E365E1" w:rsidRPr="00AD2198" w:rsidRDefault="00E365E1" w:rsidP="00BD093F"/>
    <w:sectPr w:rsidR="00E365E1" w:rsidRPr="00AD2198" w:rsidSect="00AD21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C2DD1" w14:textId="77777777" w:rsidR="00BD093F" w:rsidRPr="00AD2198" w:rsidRDefault="00BD093F">
      <w:r w:rsidRPr="00AD2198">
        <w:separator/>
      </w:r>
    </w:p>
  </w:endnote>
  <w:endnote w:type="continuationSeparator" w:id="0">
    <w:p w14:paraId="5C481232" w14:textId="77777777" w:rsidR="00BD093F" w:rsidRPr="00AD2198" w:rsidRDefault="00BD093F">
      <w:r w:rsidRPr="00AD21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2FA67" w14:textId="77777777" w:rsidR="00064002" w:rsidRPr="00AD21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E436A" w14:textId="77777777" w:rsidR="00064002" w:rsidRPr="00AD21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7D410" w14:textId="77777777" w:rsidR="00064002" w:rsidRPr="00AD21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9D8E0" w14:textId="77777777" w:rsidR="00BD093F" w:rsidRPr="00AD2198" w:rsidRDefault="00BD093F">
      <w:r w:rsidRPr="00AD2198">
        <w:separator/>
      </w:r>
    </w:p>
  </w:footnote>
  <w:footnote w:type="continuationSeparator" w:id="0">
    <w:p w14:paraId="3E6BF9ED" w14:textId="77777777" w:rsidR="00BD093F" w:rsidRPr="00AD2198" w:rsidRDefault="00BD093F">
      <w:r w:rsidRPr="00AD2198">
        <w:continuationSeparator/>
      </w:r>
    </w:p>
  </w:footnote>
  <w:footnote w:id="1">
    <w:p w14:paraId="672E99CA" w14:textId="1E576BD3" w:rsidR="00706AAC" w:rsidRPr="00AD2198" w:rsidRDefault="00706AAC" w:rsidP="00AD2198">
      <w:pPr>
        <w:pStyle w:val="FootnoteText"/>
        <w:ind w:left="567" w:hanging="567"/>
        <w:rPr>
          <w:sz w:val="24"/>
          <w:lang w:val="pl-PL"/>
        </w:rPr>
      </w:pPr>
      <w:r w:rsidRPr="00AD2198">
        <w:rPr>
          <w:rStyle w:val="FootnoteReference"/>
          <w:sz w:val="24"/>
          <w:lang w:val="pl-PL"/>
        </w:rPr>
        <w:footnoteRef/>
      </w:r>
      <w:r w:rsidR="00AD2198" w:rsidRPr="00AD2198">
        <w:rPr>
          <w:sz w:val="24"/>
          <w:lang w:val="pl-PL"/>
        </w:rPr>
        <w:t xml:space="preserve"> </w:t>
      </w:r>
      <w:r w:rsidR="00AD2198" w:rsidRPr="00AD2198">
        <w:rPr>
          <w:sz w:val="24"/>
          <w:lang w:val="pl-PL"/>
        </w:rPr>
        <w:tab/>
      </w:r>
      <w:r w:rsidRPr="00AD2198">
        <w:rPr>
          <w:sz w:val="24"/>
          <w:lang w:val="pl-PL"/>
        </w:rPr>
        <w:t xml:space="preserve">Dz.U. L 189 z </w:t>
      </w:r>
      <w:proofErr w:type="gramStart"/>
      <w:r w:rsidRPr="00AD2198">
        <w:rPr>
          <w:sz w:val="24"/>
          <w:lang w:val="pl-PL"/>
        </w:rPr>
        <w:t>28.5.2021</w:t>
      </w:r>
      <w:proofErr w:type="gramEnd"/>
      <w:r w:rsidRPr="00AD2198">
        <w:rPr>
          <w:sz w:val="24"/>
          <w:lang w:val="pl-PL"/>
        </w:rPr>
        <w:t xml:space="preserve">, s. 1, </w:t>
      </w:r>
      <w:r w:rsidR="00595BFE" w:rsidRPr="00610289">
        <w:rPr>
          <w:sz w:val="24"/>
          <w:lang w:val="pl-PL"/>
        </w:rPr>
        <w:t xml:space="preserve">ELI: </w:t>
      </w:r>
      <w:hyperlink r:id="rId1" w:history="1">
        <w:r w:rsidR="00595BFE" w:rsidRPr="00610289">
          <w:rPr>
            <w:rStyle w:val="Hyperlink"/>
            <w:sz w:val="24"/>
            <w:lang w:val="pl-PL"/>
          </w:rPr>
          <w:t>http://data.europa.eu/eli/reg/2021/817/oj</w:t>
        </w:r>
      </w:hyperlink>
      <w:r w:rsidRPr="00AD2198">
        <w:rPr>
          <w:sz w:val="24"/>
          <w:lang w:val="pl-PL"/>
        </w:rPr>
        <w:t>.</w:t>
      </w:r>
    </w:p>
  </w:footnote>
  <w:footnote w:id="2">
    <w:p w14:paraId="01CEC635" w14:textId="3E665023" w:rsidR="00706AAC" w:rsidRPr="00AD2198" w:rsidRDefault="00706AAC" w:rsidP="00AD2198">
      <w:pPr>
        <w:pStyle w:val="FootnoteText"/>
        <w:ind w:left="567" w:hanging="567"/>
        <w:rPr>
          <w:sz w:val="24"/>
          <w:lang w:val="pl-PL"/>
        </w:rPr>
      </w:pPr>
      <w:r w:rsidRPr="00AD2198">
        <w:rPr>
          <w:rStyle w:val="FootnoteReference"/>
          <w:sz w:val="24"/>
          <w:lang w:val="pl-PL"/>
        </w:rPr>
        <w:footnoteRef/>
      </w:r>
      <w:r w:rsidR="00AD2198" w:rsidRPr="00AD2198">
        <w:rPr>
          <w:sz w:val="24"/>
          <w:lang w:val="pl-PL"/>
        </w:rPr>
        <w:t xml:space="preserve"> </w:t>
      </w:r>
      <w:r w:rsidR="00AD2198" w:rsidRPr="00AD2198">
        <w:rPr>
          <w:sz w:val="24"/>
          <w:lang w:val="pl-PL"/>
        </w:rPr>
        <w:tab/>
      </w:r>
      <w:r w:rsidRPr="00AD2198">
        <w:rPr>
          <w:sz w:val="24"/>
          <w:lang w:val="pl-PL"/>
        </w:rPr>
        <w:t xml:space="preserve">Dz.U. C 239 E z </w:t>
      </w:r>
      <w:proofErr w:type="gramStart"/>
      <w:r w:rsidRPr="00AD2198">
        <w:rPr>
          <w:sz w:val="24"/>
          <w:lang w:val="pl-PL"/>
        </w:rPr>
        <w:t>20.8.2013</w:t>
      </w:r>
      <w:proofErr w:type="gramEnd"/>
      <w:r w:rsidRPr="00AD2198">
        <w:rPr>
          <w:sz w:val="24"/>
          <w:lang w:val="pl-PL"/>
        </w:rPr>
        <w:t>, s. 46.</w:t>
      </w:r>
    </w:p>
  </w:footnote>
  <w:footnote w:id="3">
    <w:p w14:paraId="7496A156" w14:textId="57C38018" w:rsidR="00706AAC" w:rsidRPr="00AD2198" w:rsidRDefault="00706AAC" w:rsidP="00AD2198">
      <w:pPr>
        <w:pStyle w:val="FootnoteText"/>
        <w:ind w:left="567" w:hanging="567"/>
        <w:rPr>
          <w:sz w:val="24"/>
          <w:lang w:val="pl-PL"/>
        </w:rPr>
      </w:pPr>
      <w:r w:rsidRPr="00AD2198">
        <w:rPr>
          <w:rStyle w:val="FootnoteReference"/>
          <w:sz w:val="24"/>
          <w:lang w:val="pl-PL"/>
        </w:rPr>
        <w:footnoteRef/>
      </w:r>
      <w:r w:rsidR="00AD2198" w:rsidRPr="00AD2198">
        <w:rPr>
          <w:sz w:val="24"/>
          <w:lang w:val="pl-PL"/>
        </w:rPr>
        <w:t xml:space="preserve"> </w:t>
      </w:r>
      <w:r w:rsidR="00AD2198" w:rsidRPr="00AD2198">
        <w:rPr>
          <w:sz w:val="24"/>
          <w:lang w:val="pl-PL"/>
        </w:rPr>
        <w:tab/>
      </w:r>
      <w:r w:rsidRPr="00AD2198">
        <w:rPr>
          <w:sz w:val="24"/>
          <w:lang w:val="pl-PL"/>
        </w:rPr>
        <w:t xml:space="preserve">Dz.U. C 36 z </w:t>
      </w:r>
      <w:proofErr w:type="gramStart"/>
      <w:r w:rsidRPr="00AD2198">
        <w:rPr>
          <w:sz w:val="24"/>
          <w:lang w:val="pl-PL"/>
        </w:rPr>
        <w:t>29.1.2016</w:t>
      </w:r>
      <w:proofErr w:type="gramEnd"/>
      <w:r w:rsidRPr="00AD2198">
        <w:rPr>
          <w:sz w:val="24"/>
          <w:lang w:val="pl-PL"/>
        </w:rPr>
        <w:t>, s. 137.</w:t>
      </w:r>
    </w:p>
  </w:footnote>
  <w:footnote w:id="4">
    <w:p w14:paraId="51B86863" w14:textId="1F29A812" w:rsidR="00706AAC" w:rsidRPr="00AD2198" w:rsidRDefault="00706AAC" w:rsidP="00AD2198">
      <w:pPr>
        <w:pStyle w:val="FootnoteText"/>
        <w:ind w:left="567" w:hanging="567"/>
        <w:rPr>
          <w:sz w:val="24"/>
          <w:lang w:val="pl-PL"/>
        </w:rPr>
      </w:pPr>
      <w:r w:rsidRPr="00AD2198">
        <w:rPr>
          <w:rStyle w:val="FootnoteReference"/>
          <w:sz w:val="24"/>
          <w:lang w:val="pl-PL"/>
        </w:rPr>
        <w:footnoteRef/>
      </w:r>
      <w:r w:rsidR="00AD2198" w:rsidRPr="00AD2198">
        <w:rPr>
          <w:sz w:val="24"/>
          <w:lang w:val="pl-PL"/>
        </w:rPr>
        <w:t xml:space="preserve"> </w:t>
      </w:r>
      <w:r w:rsidR="00AD2198" w:rsidRPr="00AD2198">
        <w:rPr>
          <w:sz w:val="24"/>
          <w:lang w:val="pl-PL"/>
        </w:rPr>
        <w:tab/>
      </w:r>
      <w:r w:rsidRPr="00AD2198">
        <w:rPr>
          <w:sz w:val="24"/>
          <w:lang w:val="pl-PL"/>
        </w:rPr>
        <w:t xml:space="preserve">Dz.U. C 252 z </w:t>
      </w:r>
      <w:proofErr w:type="gramStart"/>
      <w:r w:rsidRPr="00AD2198">
        <w:rPr>
          <w:sz w:val="24"/>
          <w:lang w:val="pl-PL"/>
        </w:rPr>
        <w:t>18.7.2018</w:t>
      </w:r>
      <w:proofErr w:type="gramEnd"/>
      <w:r w:rsidRPr="00AD2198">
        <w:rPr>
          <w:sz w:val="24"/>
          <w:lang w:val="pl-PL"/>
        </w:rPr>
        <w:t>, s. 2.</w:t>
      </w:r>
    </w:p>
  </w:footnote>
  <w:footnote w:id="5">
    <w:p w14:paraId="2A899062" w14:textId="4D8B89D4" w:rsidR="00706AAC" w:rsidRPr="00AD2198" w:rsidRDefault="00706AAC" w:rsidP="00AD2198">
      <w:pPr>
        <w:pStyle w:val="FootnoteText"/>
        <w:ind w:left="567" w:hanging="567"/>
        <w:rPr>
          <w:sz w:val="24"/>
          <w:lang w:val="pl-PL"/>
        </w:rPr>
      </w:pPr>
      <w:r w:rsidRPr="00AD2198">
        <w:rPr>
          <w:rStyle w:val="FootnoteReference"/>
          <w:sz w:val="24"/>
          <w:lang w:val="pl-PL"/>
        </w:rPr>
        <w:footnoteRef/>
      </w:r>
      <w:r w:rsidR="00AD2198" w:rsidRPr="00AD2198">
        <w:rPr>
          <w:sz w:val="24"/>
          <w:lang w:val="pl-PL"/>
        </w:rPr>
        <w:t xml:space="preserve"> </w:t>
      </w:r>
      <w:r w:rsidR="00AD2198" w:rsidRPr="00AD2198">
        <w:rPr>
          <w:sz w:val="24"/>
          <w:lang w:val="pl-PL"/>
        </w:rPr>
        <w:tab/>
      </w:r>
      <w:r w:rsidRPr="00AD2198">
        <w:rPr>
          <w:sz w:val="24"/>
          <w:lang w:val="pl-PL"/>
        </w:rPr>
        <w:t xml:space="preserve">Dz.U. C 15 z </w:t>
      </w:r>
      <w:proofErr w:type="gramStart"/>
      <w:r w:rsidRPr="00AD2198">
        <w:rPr>
          <w:sz w:val="24"/>
          <w:lang w:val="pl-PL"/>
        </w:rPr>
        <w:t>12.1.2022</w:t>
      </w:r>
      <w:proofErr w:type="gramEnd"/>
      <w:r w:rsidRPr="00AD2198">
        <w:rPr>
          <w:sz w:val="24"/>
          <w:lang w:val="pl-PL"/>
        </w:rPr>
        <w:t>, s. 18.</w:t>
      </w:r>
    </w:p>
  </w:footnote>
  <w:footnote w:id="6">
    <w:p w14:paraId="7A74C116" w14:textId="393CA6B4" w:rsidR="00706AAC" w:rsidRPr="00AD2198" w:rsidRDefault="00706AAC" w:rsidP="00AD2198">
      <w:pPr>
        <w:pStyle w:val="FootnoteText"/>
        <w:ind w:left="567" w:hanging="567"/>
        <w:rPr>
          <w:sz w:val="24"/>
          <w:lang w:val="pl-PL"/>
        </w:rPr>
      </w:pPr>
      <w:r w:rsidRPr="00AD2198">
        <w:rPr>
          <w:rStyle w:val="FootnoteReference"/>
          <w:sz w:val="24"/>
          <w:lang w:val="pl-PL"/>
        </w:rPr>
        <w:footnoteRef/>
      </w:r>
      <w:r w:rsidR="00AD2198" w:rsidRPr="00AD2198">
        <w:rPr>
          <w:sz w:val="24"/>
          <w:lang w:val="pl-PL"/>
        </w:rPr>
        <w:t xml:space="preserve"> </w:t>
      </w:r>
      <w:r w:rsidR="00AD2198" w:rsidRPr="00AD2198">
        <w:rPr>
          <w:sz w:val="24"/>
          <w:lang w:val="pl-PL"/>
        </w:rPr>
        <w:tab/>
      </w:r>
      <w:r w:rsidRPr="00AD2198">
        <w:rPr>
          <w:sz w:val="24"/>
          <w:lang w:val="pl-PL"/>
        </w:rPr>
        <w:t xml:space="preserve">Dz.U. C 224 z </w:t>
      </w:r>
      <w:proofErr w:type="gramStart"/>
      <w:r w:rsidRPr="00AD2198">
        <w:rPr>
          <w:sz w:val="24"/>
          <w:lang w:val="pl-PL"/>
        </w:rPr>
        <w:t>8.6.2022</w:t>
      </w:r>
      <w:proofErr w:type="gramEnd"/>
      <w:r w:rsidRPr="00AD2198">
        <w:rPr>
          <w:sz w:val="24"/>
          <w:lang w:val="pl-PL"/>
        </w:rPr>
        <w:t>, s. 2.</w:t>
      </w:r>
    </w:p>
  </w:footnote>
  <w:footnote w:id="7">
    <w:p w14:paraId="6C205FC0" w14:textId="71B8755D" w:rsidR="00706AAC" w:rsidRPr="00AD2198" w:rsidRDefault="00706AAC" w:rsidP="00AD2198">
      <w:pPr>
        <w:pStyle w:val="FootnoteText"/>
        <w:ind w:left="567" w:hanging="567"/>
        <w:rPr>
          <w:sz w:val="24"/>
          <w:lang w:val="pl-PL"/>
        </w:rPr>
      </w:pPr>
      <w:r w:rsidRPr="00AD2198">
        <w:rPr>
          <w:rStyle w:val="FootnoteReference"/>
          <w:sz w:val="24"/>
          <w:lang w:val="pl-PL"/>
        </w:rPr>
        <w:footnoteRef/>
      </w:r>
      <w:r w:rsidR="00AD2198" w:rsidRPr="00AD2198">
        <w:rPr>
          <w:sz w:val="24"/>
          <w:lang w:val="pl-PL"/>
        </w:rPr>
        <w:t xml:space="preserve"> </w:t>
      </w:r>
      <w:r w:rsidR="00AD2198" w:rsidRPr="00AD2198">
        <w:rPr>
          <w:sz w:val="24"/>
          <w:lang w:val="pl-PL"/>
        </w:rPr>
        <w:tab/>
      </w:r>
      <w:r w:rsidRPr="00AD2198">
        <w:rPr>
          <w:sz w:val="24"/>
          <w:lang w:val="pl-PL"/>
        </w:rPr>
        <w:t>Badanie pt. „Unijna polityka w dziedzinie sportu: ocena i możliwe kierunki dalszych działań”, Parlament Europejski, Dyrekcja Generalna ds. Polityki Wewnętrznej, Departament Tematyczny ds. Polityki Strukturalnej i Polityki Spójności, czerwiec 2021 r.</w:t>
      </w:r>
    </w:p>
  </w:footnote>
  <w:footnote w:id="8">
    <w:p w14:paraId="31064535" w14:textId="2C444FA2" w:rsidR="00706AAC" w:rsidRPr="00AD2198" w:rsidRDefault="00706AAC" w:rsidP="00AD2198">
      <w:pPr>
        <w:pStyle w:val="FootnoteText"/>
        <w:ind w:left="567" w:hanging="567"/>
        <w:rPr>
          <w:sz w:val="24"/>
          <w:lang w:val="pl-PL"/>
        </w:rPr>
      </w:pPr>
      <w:r w:rsidRPr="00AD2198">
        <w:rPr>
          <w:rStyle w:val="FootnoteReference"/>
          <w:sz w:val="24"/>
          <w:lang w:val="pl-PL"/>
        </w:rPr>
        <w:footnoteRef/>
      </w:r>
      <w:r w:rsidR="00AD2198" w:rsidRPr="00AD2198">
        <w:rPr>
          <w:sz w:val="24"/>
          <w:lang w:val="pl-PL"/>
        </w:rPr>
        <w:t xml:space="preserve"> </w:t>
      </w:r>
      <w:r w:rsidR="00AD2198" w:rsidRPr="00AD2198">
        <w:rPr>
          <w:sz w:val="24"/>
          <w:lang w:val="pl-PL"/>
        </w:rPr>
        <w:tab/>
      </w:r>
      <w:r w:rsidRPr="00595BFE">
        <w:rPr>
          <w:sz w:val="24"/>
          <w:lang w:val="pl-PL"/>
        </w:rPr>
        <w:t>Komisja Europejska, Dyrekcja Generalna ds. Edukacji, Młodzieży, Sportu i Kultury, Sennett, J., Le Gall, A., Kelly, G. i in., „Study on the European sport model – A report to the European Commission”, Urząd Publikacji UE, 2022 r.</w:t>
      </w:r>
      <w:proofErr w:type="gramStart"/>
      <w:r w:rsidRPr="00595BFE">
        <w:rPr>
          <w:sz w:val="24"/>
          <w:lang w:val="pl-PL"/>
        </w:rPr>
        <w:t xml:space="preserve">, </w:t>
      </w:r>
      <w:r w:rsidR="00595BFE" w:rsidRPr="00610289">
        <w:rPr>
          <w:sz w:val="24"/>
          <w:u w:color="0000FF"/>
          <w:lang w:val="pl-PL"/>
        </w:rPr>
        <w:t>,</w:t>
      </w:r>
      <w:proofErr w:type="gramEnd"/>
      <w:r w:rsidR="00595BFE" w:rsidRPr="00610289">
        <w:rPr>
          <w:sz w:val="24"/>
          <w:u w:color="0000FF"/>
          <w:lang w:val="pl-PL"/>
        </w:rPr>
        <w:t xml:space="preserve"> </w:t>
      </w:r>
      <w:hyperlink r:id="rId2" w:history="1">
        <w:r w:rsidR="00595BFE" w:rsidRPr="00610289">
          <w:rPr>
            <w:rStyle w:val="Hyperlink"/>
            <w:sz w:val="24"/>
            <w:lang w:val="pl-PL"/>
          </w:rPr>
          <w:t>https://data.europa.eu/doi/10.2766/28433</w:t>
        </w:r>
      </w:hyperlink>
      <w:r w:rsidRPr="00595BFE">
        <w:rPr>
          <w:sz w:val="24"/>
          <w:lang w:val="pl-PL"/>
        </w:rPr>
        <w:t>.</w:t>
      </w:r>
    </w:p>
  </w:footnote>
  <w:footnote w:id="9">
    <w:p w14:paraId="5899D0DA" w14:textId="179475D1" w:rsidR="00706AAC" w:rsidRPr="00610289" w:rsidRDefault="00706AAC" w:rsidP="00AD2198">
      <w:pPr>
        <w:pStyle w:val="FootnoteText"/>
        <w:ind w:left="567" w:hanging="567"/>
        <w:rPr>
          <w:sz w:val="24"/>
          <w:lang w:val="fi-FI"/>
        </w:rPr>
      </w:pPr>
      <w:r w:rsidRPr="00AD2198">
        <w:rPr>
          <w:rStyle w:val="FootnoteReference"/>
          <w:sz w:val="24"/>
          <w:lang w:val="pl-PL"/>
        </w:rPr>
        <w:footnoteRef/>
      </w:r>
      <w:r w:rsidR="00AD2198" w:rsidRPr="00610289">
        <w:rPr>
          <w:sz w:val="24"/>
          <w:lang w:val="fi-FI"/>
        </w:rPr>
        <w:t xml:space="preserve"> </w:t>
      </w:r>
      <w:r w:rsidR="00AD2198" w:rsidRPr="00610289">
        <w:rPr>
          <w:sz w:val="24"/>
          <w:lang w:val="fi-FI"/>
        </w:rPr>
        <w:tab/>
      </w:r>
      <w:r w:rsidRPr="00610289">
        <w:rPr>
          <w:sz w:val="24"/>
          <w:lang w:val="fi-FI"/>
        </w:rPr>
        <w:t xml:space="preserve">Dz.U. C, C/2024/3527, 3.6.2024, ELI: </w:t>
      </w:r>
      <w:hyperlink r:id="rId3" w:history="1">
        <w:r w:rsidR="00595BFE" w:rsidRPr="00610289">
          <w:rPr>
            <w:rStyle w:val="Hyperlink"/>
            <w:sz w:val="24"/>
            <w:lang w:val="fi-FI"/>
          </w:rPr>
          <w:t>http://data.europa.eu/eli/C/2024/3527/oj</w:t>
        </w:r>
      </w:hyperlink>
      <w:r w:rsidRPr="00610289">
        <w:rPr>
          <w:sz w:val="24"/>
          <w:lang w:val="fi-FI"/>
        </w:rPr>
        <w:t>.</w:t>
      </w:r>
    </w:p>
  </w:footnote>
  <w:footnote w:id="10">
    <w:p w14:paraId="1FEE29CB" w14:textId="3D7F3EB0" w:rsidR="00706AAC" w:rsidRPr="00AD2198" w:rsidRDefault="00706AAC" w:rsidP="00AD2198">
      <w:pPr>
        <w:pStyle w:val="FootnoteText"/>
        <w:ind w:left="567" w:hanging="567"/>
        <w:rPr>
          <w:sz w:val="24"/>
          <w:lang w:val="pl-PL"/>
        </w:rPr>
      </w:pPr>
      <w:r w:rsidRPr="00AD2198">
        <w:rPr>
          <w:rStyle w:val="FootnoteReference"/>
          <w:sz w:val="24"/>
          <w:lang w:val="pl-PL"/>
        </w:rPr>
        <w:footnoteRef/>
      </w:r>
      <w:r w:rsidR="00AD2198" w:rsidRPr="00AD2198">
        <w:rPr>
          <w:sz w:val="24"/>
          <w:lang w:val="pl-PL"/>
        </w:rPr>
        <w:t xml:space="preserve"> </w:t>
      </w:r>
      <w:r w:rsidR="00AD2198" w:rsidRPr="00AD2198">
        <w:rPr>
          <w:sz w:val="24"/>
          <w:lang w:val="pl-PL"/>
        </w:rPr>
        <w:tab/>
      </w:r>
      <w:r w:rsidRPr="00AD2198">
        <w:rPr>
          <w:sz w:val="24"/>
          <w:lang w:val="pl-PL"/>
        </w:rPr>
        <w:t xml:space="preserve">Wyrok Trybunału Sprawiedliwości z dnia 21 grudnia 2023 r., </w:t>
      </w:r>
      <w:r w:rsidRPr="00AD2198">
        <w:rPr>
          <w:rStyle w:val="Italic"/>
          <w:sz w:val="24"/>
          <w:lang w:val="pl-PL"/>
        </w:rPr>
        <w:t>International Skating Union</w:t>
      </w:r>
      <w:r w:rsidRPr="00AD2198">
        <w:rPr>
          <w:sz w:val="24"/>
          <w:lang w:val="pl-PL"/>
        </w:rPr>
        <w:t> / </w:t>
      </w:r>
      <w:r w:rsidRPr="00AD2198">
        <w:rPr>
          <w:rStyle w:val="Italic"/>
          <w:sz w:val="24"/>
          <w:lang w:val="pl-PL"/>
        </w:rPr>
        <w:t>Komisja Europejska</w:t>
      </w:r>
      <w:r w:rsidRPr="00AD2198">
        <w:rPr>
          <w:sz w:val="24"/>
          <w:lang w:val="pl-PL"/>
        </w:rPr>
        <w:t>, C-124/21 P, ECLI:EU:C:2023:1012.</w:t>
      </w:r>
    </w:p>
  </w:footnote>
  <w:footnote w:id="11">
    <w:p w14:paraId="48A9AC58" w14:textId="6E40A1BE" w:rsidR="00AD0A1F" w:rsidRPr="00AD0A1F" w:rsidRDefault="00AD0A1F">
      <w:pPr>
        <w:pStyle w:val="FootnoteText"/>
        <w:rPr>
          <w:sz w:val="24"/>
          <w:szCs w:val="24"/>
          <w:lang w:val="pl-PL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AD0A1F">
        <w:rPr>
          <w:rStyle w:val="Italic"/>
          <w:i w:val="0"/>
          <w:iCs/>
          <w:sz w:val="24"/>
          <w:szCs w:val="24"/>
          <w:lang w:val="pl-PL"/>
        </w:rPr>
        <w:t>Wyrok Trybunału Sprawiedliwości z dnia 21 grudnia 2023 r.,</w:t>
      </w:r>
      <w:r w:rsidRPr="00AD0A1F">
        <w:rPr>
          <w:rStyle w:val="Italic"/>
          <w:sz w:val="24"/>
          <w:szCs w:val="24"/>
          <w:lang w:val="pl-PL"/>
        </w:rPr>
        <w:t xml:space="preserve"> UL i SA </w:t>
      </w:r>
      <w:proofErr w:type="spellStart"/>
      <w:r w:rsidRPr="00AD0A1F">
        <w:rPr>
          <w:rStyle w:val="Italic"/>
          <w:sz w:val="24"/>
          <w:szCs w:val="24"/>
          <w:lang w:val="pl-PL"/>
        </w:rPr>
        <w:t>Royal</w:t>
      </w:r>
      <w:proofErr w:type="spellEnd"/>
      <w:r w:rsidRPr="00AD0A1F">
        <w:rPr>
          <w:rStyle w:val="Italic"/>
          <w:sz w:val="24"/>
          <w:szCs w:val="24"/>
          <w:lang w:val="pl-PL"/>
        </w:rPr>
        <w:t xml:space="preserve"> </w:t>
      </w:r>
      <w:proofErr w:type="spellStart"/>
      <w:r w:rsidRPr="00AD0A1F">
        <w:rPr>
          <w:rStyle w:val="Italic"/>
          <w:sz w:val="24"/>
          <w:szCs w:val="24"/>
          <w:lang w:val="pl-PL"/>
        </w:rPr>
        <w:t>Antwerp</w:t>
      </w:r>
      <w:proofErr w:type="spellEnd"/>
      <w:r w:rsidRPr="00AD0A1F">
        <w:rPr>
          <w:rStyle w:val="Italic"/>
          <w:sz w:val="24"/>
          <w:szCs w:val="24"/>
          <w:lang w:val="pl-PL"/>
        </w:rPr>
        <w:t xml:space="preserve"> Football Club / Union </w:t>
      </w:r>
      <w:proofErr w:type="spellStart"/>
      <w:r w:rsidRPr="00AD0A1F">
        <w:rPr>
          <w:rStyle w:val="Italic"/>
          <w:sz w:val="24"/>
          <w:szCs w:val="24"/>
          <w:lang w:val="pl-PL"/>
        </w:rPr>
        <w:t>royale</w:t>
      </w:r>
      <w:proofErr w:type="spellEnd"/>
      <w:r w:rsidRPr="00AD0A1F">
        <w:rPr>
          <w:rStyle w:val="Italic"/>
          <w:sz w:val="24"/>
          <w:szCs w:val="24"/>
          <w:lang w:val="pl-PL"/>
        </w:rPr>
        <w:t xml:space="preserve"> </w:t>
      </w:r>
      <w:proofErr w:type="spellStart"/>
      <w:r w:rsidRPr="00AD0A1F">
        <w:rPr>
          <w:rStyle w:val="Italic"/>
          <w:sz w:val="24"/>
          <w:szCs w:val="24"/>
          <w:lang w:val="pl-PL"/>
        </w:rPr>
        <w:t>belge</w:t>
      </w:r>
      <w:proofErr w:type="spellEnd"/>
      <w:r w:rsidRPr="00AD0A1F">
        <w:rPr>
          <w:rStyle w:val="Italic"/>
          <w:sz w:val="24"/>
          <w:szCs w:val="24"/>
          <w:lang w:val="pl-PL"/>
        </w:rPr>
        <w:t xml:space="preserve"> des </w:t>
      </w:r>
      <w:proofErr w:type="spellStart"/>
      <w:r w:rsidRPr="00AD0A1F">
        <w:rPr>
          <w:rStyle w:val="Italic"/>
          <w:sz w:val="24"/>
          <w:szCs w:val="24"/>
          <w:lang w:val="pl-PL"/>
        </w:rPr>
        <w:t>sociétés</w:t>
      </w:r>
      <w:proofErr w:type="spellEnd"/>
      <w:r w:rsidRPr="00AD0A1F">
        <w:rPr>
          <w:rStyle w:val="Italic"/>
          <w:sz w:val="24"/>
          <w:szCs w:val="24"/>
          <w:lang w:val="pl-PL"/>
        </w:rPr>
        <w:t xml:space="preserve"> de football </w:t>
      </w:r>
      <w:proofErr w:type="spellStart"/>
      <w:r w:rsidRPr="00AD0A1F">
        <w:rPr>
          <w:rStyle w:val="Italic"/>
          <w:sz w:val="24"/>
          <w:szCs w:val="24"/>
          <w:lang w:val="pl-PL"/>
        </w:rPr>
        <w:t>association</w:t>
      </w:r>
      <w:proofErr w:type="spellEnd"/>
      <w:r w:rsidRPr="00AD0A1F">
        <w:rPr>
          <w:rStyle w:val="Italic"/>
          <w:sz w:val="24"/>
          <w:szCs w:val="24"/>
          <w:lang w:val="pl-PL"/>
        </w:rPr>
        <w:t xml:space="preserve"> ASBL</w:t>
      </w:r>
      <w:r>
        <w:rPr>
          <w:rStyle w:val="Italic"/>
          <w:sz w:val="24"/>
          <w:szCs w:val="24"/>
          <w:lang w:val="pl-PL"/>
        </w:rPr>
        <w:t>,</w:t>
      </w:r>
      <w:r w:rsidRPr="00AD0A1F">
        <w:rPr>
          <w:rStyle w:val="Italic"/>
          <w:sz w:val="24"/>
          <w:szCs w:val="24"/>
          <w:lang w:val="pl-PL"/>
        </w:rPr>
        <w:t xml:space="preserve"> </w:t>
      </w:r>
      <w:r w:rsidRPr="00AD0A1F">
        <w:rPr>
          <w:rStyle w:val="Italic"/>
          <w:i w:val="0"/>
          <w:iCs/>
          <w:sz w:val="24"/>
          <w:szCs w:val="24"/>
          <w:lang w:val="pl-PL"/>
        </w:rPr>
        <w:t>C-680/21, ECLI:EU:C:2023:1010.</w:t>
      </w:r>
    </w:p>
  </w:footnote>
  <w:footnote w:id="12">
    <w:p w14:paraId="56810B61" w14:textId="0423FD6C" w:rsidR="00AD0A1F" w:rsidRPr="00AD0A1F" w:rsidRDefault="00AD0A1F">
      <w:pPr>
        <w:pStyle w:val="FootnoteText"/>
        <w:rPr>
          <w:lang w:val="pl-PL"/>
        </w:rPr>
      </w:pPr>
      <w:r w:rsidRPr="00AD0A1F">
        <w:rPr>
          <w:rStyle w:val="FootnoteReference"/>
          <w:sz w:val="24"/>
          <w:szCs w:val="24"/>
        </w:rPr>
        <w:footnoteRef/>
      </w:r>
      <w:r w:rsidRPr="00AD0A1F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AD0A1F">
        <w:rPr>
          <w:rStyle w:val="Italic"/>
          <w:i w:val="0"/>
          <w:iCs/>
          <w:sz w:val="24"/>
          <w:szCs w:val="24"/>
          <w:lang w:val="pl-PL"/>
        </w:rPr>
        <w:t>Wyrok Trybunału Sprawiedliwości z dnia 21 grudnia 2023 r.,</w:t>
      </w:r>
      <w:r w:rsidRPr="00AD0A1F">
        <w:rPr>
          <w:rStyle w:val="Italic"/>
          <w:sz w:val="24"/>
          <w:szCs w:val="24"/>
          <w:lang w:val="pl-PL"/>
        </w:rPr>
        <w:t xml:space="preserve"> </w:t>
      </w:r>
      <w:proofErr w:type="spellStart"/>
      <w:r w:rsidRPr="00AD0A1F">
        <w:rPr>
          <w:rStyle w:val="Italic"/>
          <w:sz w:val="24"/>
          <w:szCs w:val="24"/>
          <w:lang w:val="pl-PL"/>
        </w:rPr>
        <w:t>European</w:t>
      </w:r>
      <w:proofErr w:type="spellEnd"/>
      <w:r w:rsidRPr="00AD0A1F">
        <w:rPr>
          <w:rStyle w:val="Italic"/>
          <w:sz w:val="24"/>
          <w:szCs w:val="24"/>
          <w:lang w:val="pl-PL"/>
        </w:rPr>
        <w:t xml:space="preserve"> </w:t>
      </w:r>
      <w:proofErr w:type="spellStart"/>
      <w:r w:rsidRPr="00AD0A1F">
        <w:rPr>
          <w:rStyle w:val="Italic"/>
          <w:sz w:val="24"/>
          <w:szCs w:val="24"/>
          <w:lang w:val="pl-PL"/>
        </w:rPr>
        <w:t>Superleague</w:t>
      </w:r>
      <w:proofErr w:type="spellEnd"/>
      <w:r w:rsidRPr="00AD0A1F">
        <w:rPr>
          <w:rStyle w:val="Italic"/>
          <w:sz w:val="24"/>
          <w:szCs w:val="24"/>
          <w:lang w:val="pl-PL"/>
        </w:rPr>
        <w:t xml:space="preserve"> Company, SL / </w:t>
      </w:r>
      <w:proofErr w:type="spellStart"/>
      <w:r w:rsidRPr="00AD0A1F">
        <w:rPr>
          <w:rStyle w:val="Italic"/>
          <w:sz w:val="24"/>
          <w:szCs w:val="24"/>
          <w:lang w:val="pl-PL"/>
        </w:rPr>
        <w:t>Fédération</w:t>
      </w:r>
      <w:proofErr w:type="spellEnd"/>
      <w:r w:rsidRPr="00AD0A1F">
        <w:rPr>
          <w:rStyle w:val="Italic"/>
          <w:sz w:val="24"/>
          <w:szCs w:val="24"/>
          <w:lang w:val="pl-PL"/>
        </w:rPr>
        <w:t xml:space="preserve"> </w:t>
      </w:r>
      <w:proofErr w:type="spellStart"/>
      <w:r w:rsidRPr="00AD0A1F">
        <w:rPr>
          <w:rStyle w:val="Italic"/>
          <w:sz w:val="24"/>
          <w:szCs w:val="24"/>
          <w:lang w:val="pl-PL"/>
        </w:rPr>
        <w:t>internationale</w:t>
      </w:r>
      <w:proofErr w:type="spellEnd"/>
      <w:r w:rsidRPr="00AD0A1F">
        <w:rPr>
          <w:rStyle w:val="Italic"/>
          <w:sz w:val="24"/>
          <w:szCs w:val="24"/>
          <w:lang w:val="pl-PL"/>
        </w:rPr>
        <w:t xml:space="preserve"> de football </w:t>
      </w:r>
      <w:proofErr w:type="spellStart"/>
      <w:r w:rsidRPr="00AD0A1F">
        <w:rPr>
          <w:rStyle w:val="Italic"/>
          <w:sz w:val="24"/>
          <w:szCs w:val="24"/>
          <w:lang w:val="pl-PL"/>
        </w:rPr>
        <w:t>association</w:t>
      </w:r>
      <w:proofErr w:type="spellEnd"/>
      <w:r w:rsidRPr="00AD0A1F">
        <w:rPr>
          <w:rStyle w:val="Italic"/>
          <w:sz w:val="24"/>
          <w:szCs w:val="24"/>
          <w:lang w:val="pl-PL"/>
        </w:rPr>
        <w:t xml:space="preserve"> (FIFA) i Union des </w:t>
      </w:r>
      <w:proofErr w:type="spellStart"/>
      <w:r w:rsidRPr="00AD0A1F">
        <w:rPr>
          <w:rStyle w:val="Italic"/>
          <w:sz w:val="24"/>
          <w:szCs w:val="24"/>
          <w:lang w:val="pl-PL"/>
        </w:rPr>
        <w:t>associations</w:t>
      </w:r>
      <w:proofErr w:type="spellEnd"/>
      <w:r w:rsidRPr="00AD0A1F">
        <w:rPr>
          <w:rStyle w:val="Italic"/>
          <w:sz w:val="24"/>
          <w:szCs w:val="24"/>
          <w:lang w:val="pl-PL"/>
        </w:rPr>
        <w:t xml:space="preserve"> </w:t>
      </w:r>
      <w:proofErr w:type="spellStart"/>
      <w:r w:rsidRPr="00AD0A1F">
        <w:rPr>
          <w:rStyle w:val="Italic"/>
          <w:sz w:val="24"/>
          <w:szCs w:val="24"/>
          <w:lang w:val="pl-PL"/>
        </w:rPr>
        <w:t>européennes</w:t>
      </w:r>
      <w:proofErr w:type="spellEnd"/>
      <w:r w:rsidRPr="00AD0A1F">
        <w:rPr>
          <w:rStyle w:val="Italic"/>
          <w:sz w:val="24"/>
          <w:szCs w:val="24"/>
          <w:lang w:val="pl-PL"/>
        </w:rPr>
        <w:t xml:space="preserve"> de football (UEFA), </w:t>
      </w:r>
      <w:r w:rsidRPr="00AD0A1F">
        <w:rPr>
          <w:rStyle w:val="Italic"/>
          <w:i w:val="0"/>
          <w:iCs/>
          <w:sz w:val="24"/>
          <w:szCs w:val="24"/>
          <w:lang w:val="pl-PL"/>
        </w:rPr>
        <w:t>C-333/21, ECLI:EU:C:2023:1011.</w:t>
      </w:r>
    </w:p>
  </w:footnote>
  <w:footnote w:id="13">
    <w:p w14:paraId="0EC6081F" w14:textId="47FB168A" w:rsidR="00706AAC" w:rsidRPr="00AD2198" w:rsidRDefault="00706AAC" w:rsidP="00AD2198">
      <w:pPr>
        <w:pStyle w:val="FootnoteText"/>
        <w:ind w:left="567" w:hanging="567"/>
        <w:rPr>
          <w:sz w:val="24"/>
          <w:lang w:val="pl-PL"/>
        </w:rPr>
      </w:pPr>
      <w:r w:rsidRPr="00AD2198">
        <w:rPr>
          <w:rStyle w:val="FootnoteReference"/>
          <w:sz w:val="24"/>
          <w:lang w:val="pl-PL"/>
        </w:rPr>
        <w:footnoteRef/>
      </w:r>
      <w:r w:rsidR="00AD2198" w:rsidRPr="00AD2198">
        <w:rPr>
          <w:sz w:val="24"/>
          <w:lang w:val="pl-PL"/>
        </w:rPr>
        <w:t xml:space="preserve"> </w:t>
      </w:r>
      <w:r w:rsidR="00AD2198" w:rsidRPr="00AD2198">
        <w:rPr>
          <w:sz w:val="24"/>
          <w:lang w:val="pl-PL"/>
        </w:rPr>
        <w:tab/>
      </w:r>
      <w:r w:rsidRPr="00AD2198">
        <w:rPr>
          <w:sz w:val="24"/>
          <w:lang w:val="pl-PL"/>
        </w:rPr>
        <w:t xml:space="preserve">Wyrok Trybunału Sprawiedliwości z 4 października 2024 r. w sprawie C‑650/22, </w:t>
      </w:r>
      <w:proofErr w:type="spellStart"/>
      <w:r w:rsidRPr="00AD2198">
        <w:rPr>
          <w:rStyle w:val="Italic"/>
          <w:sz w:val="24"/>
          <w:lang w:val="pl-PL"/>
        </w:rPr>
        <w:t>Fédération</w:t>
      </w:r>
      <w:proofErr w:type="spellEnd"/>
      <w:r w:rsidRPr="00AD2198">
        <w:rPr>
          <w:rStyle w:val="Italic"/>
          <w:sz w:val="24"/>
          <w:lang w:val="pl-PL"/>
        </w:rPr>
        <w:t xml:space="preserve"> </w:t>
      </w:r>
      <w:proofErr w:type="spellStart"/>
      <w:r w:rsidRPr="00AD2198">
        <w:rPr>
          <w:rStyle w:val="Italic"/>
          <w:sz w:val="24"/>
          <w:lang w:val="pl-PL"/>
        </w:rPr>
        <w:t>internationale</w:t>
      </w:r>
      <w:proofErr w:type="spellEnd"/>
      <w:r w:rsidRPr="00AD2198">
        <w:rPr>
          <w:rStyle w:val="Italic"/>
          <w:sz w:val="24"/>
          <w:lang w:val="pl-PL"/>
        </w:rPr>
        <w:t xml:space="preserve"> de football </w:t>
      </w:r>
      <w:proofErr w:type="spellStart"/>
      <w:r w:rsidRPr="00AD2198">
        <w:rPr>
          <w:rStyle w:val="Italic"/>
          <w:sz w:val="24"/>
          <w:lang w:val="pl-PL"/>
        </w:rPr>
        <w:t>association</w:t>
      </w:r>
      <w:proofErr w:type="spellEnd"/>
      <w:r w:rsidRPr="00AD2198">
        <w:rPr>
          <w:rStyle w:val="Italic"/>
          <w:sz w:val="24"/>
          <w:lang w:val="pl-PL"/>
        </w:rPr>
        <w:t xml:space="preserve"> (FIFA) / BZ</w:t>
      </w:r>
      <w:r w:rsidRPr="00AD2198">
        <w:rPr>
          <w:sz w:val="24"/>
          <w:lang w:val="pl-PL"/>
        </w:rPr>
        <w:t>, ECLI:EU:C:2024:824.</w:t>
      </w:r>
    </w:p>
  </w:footnote>
  <w:footnote w:id="14">
    <w:p w14:paraId="5E3249A7" w14:textId="3FC93C3D" w:rsidR="00706AAC" w:rsidRPr="00AD2198" w:rsidRDefault="00706AAC" w:rsidP="00AD2198">
      <w:pPr>
        <w:pStyle w:val="FootnoteText"/>
        <w:ind w:left="567" w:hanging="567"/>
        <w:rPr>
          <w:sz w:val="24"/>
          <w:lang w:val="pl-PL"/>
        </w:rPr>
      </w:pPr>
      <w:r w:rsidRPr="00AD2198">
        <w:rPr>
          <w:rStyle w:val="FootnoteReference"/>
          <w:sz w:val="24"/>
          <w:lang w:val="pl-PL"/>
        </w:rPr>
        <w:footnoteRef/>
      </w:r>
      <w:r w:rsidR="00AD2198" w:rsidRPr="00AD2198">
        <w:rPr>
          <w:sz w:val="24"/>
          <w:lang w:val="pl-PL"/>
        </w:rPr>
        <w:t xml:space="preserve"> </w:t>
      </w:r>
      <w:r w:rsidR="00AD2198" w:rsidRPr="00AD2198">
        <w:rPr>
          <w:sz w:val="24"/>
          <w:lang w:val="pl-PL"/>
        </w:rPr>
        <w:tab/>
      </w:r>
      <w:r w:rsidRPr="00AD2198">
        <w:rPr>
          <w:sz w:val="24"/>
          <w:lang w:val="pl-PL"/>
        </w:rPr>
        <w:t>Dz.U. C 501 z 13.12.2021, s.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EAE8C" w14:textId="77777777" w:rsidR="00064002" w:rsidRPr="00AD21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7E318" w14:textId="77777777" w:rsidR="00064002" w:rsidRPr="00AD21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CD800" w14:textId="77777777" w:rsidR="00064002" w:rsidRPr="00AD21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29781441">
    <w:abstractNumId w:val="9"/>
  </w:num>
  <w:num w:numId="2" w16cid:durableId="1183858035">
    <w:abstractNumId w:val="9"/>
  </w:num>
  <w:num w:numId="3" w16cid:durableId="1142311368">
    <w:abstractNumId w:val="7"/>
  </w:num>
  <w:num w:numId="4" w16cid:durableId="496270204">
    <w:abstractNumId w:val="7"/>
  </w:num>
  <w:num w:numId="5" w16cid:durableId="1186287790">
    <w:abstractNumId w:val="6"/>
  </w:num>
  <w:num w:numId="6" w16cid:durableId="789082005">
    <w:abstractNumId w:val="6"/>
  </w:num>
  <w:num w:numId="7" w16cid:durableId="1250502259">
    <w:abstractNumId w:val="5"/>
  </w:num>
  <w:num w:numId="8" w16cid:durableId="1942443939">
    <w:abstractNumId w:val="5"/>
  </w:num>
  <w:num w:numId="9" w16cid:durableId="990863012">
    <w:abstractNumId w:val="4"/>
  </w:num>
  <w:num w:numId="10" w16cid:durableId="1217283529">
    <w:abstractNumId w:val="4"/>
  </w:num>
  <w:num w:numId="11" w16cid:durableId="2094818549">
    <w:abstractNumId w:val="8"/>
  </w:num>
  <w:num w:numId="12" w16cid:durableId="1954092517">
    <w:abstractNumId w:val="8"/>
  </w:num>
  <w:num w:numId="13" w16cid:durableId="705565046">
    <w:abstractNumId w:val="3"/>
  </w:num>
  <w:num w:numId="14" w16cid:durableId="562639862">
    <w:abstractNumId w:val="3"/>
  </w:num>
  <w:num w:numId="15" w16cid:durableId="2065253012">
    <w:abstractNumId w:val="2"/>
  </w:num>
  <w:num w:numId="16" w16cid:durableId="17314514">
    <w:abstractNumId w:val="2"/>
  </w:num>
  <w:num w:numId="17" w16cid:durableId="1177697444">
    <w:abstractNumId w:val="1"/>
  </w:num>
  <w:num w:numId="18" w16cid:durableId="353501650">
    <w:abstractNumId w:val="1"/>
  </w:num>
  <w:num w:numId="19" w16cid:durableId="1002396104">
    <w:abstractNumId w:val="0"/>
  </w:num>
  <w:num w:numId="20" w16cid:durableId="598367844">
    <w:abstractNumId w:val="0"/>
  </w:num>
  <w:num w:numId="21" w16cid:durableId="1620257286">
    <w:abstractNumId w:val="9"/>
  </w:num>
  <w:num w:numId="22" w16cid:durableId="1751735261">
    <w:abstractNumId w:val="7"/>
  </w:num>
  <w:num w:numId="23" w16cid:durableId="477192868">
    <w:abstractNumId w:val="6"/>
  </w:num>
  <w:num w:numId="24" w16cid:durableId="29385097">
    <w:abstractNumId w:val="5"/>
  </w:num>
  <w:num w:numId="25" w16cid:durableId="1077897698">
    <w:abstractNumId w:val="4"/>
  </w:num>
  <w:num w:numId="26" w16cid:durableId="730731650">
    <w:abstractNumId w:val="8"/>
  </w:num>
  <w:num w:numId="27" w16cid:durableId="2046368469">
    <w:abstractNumId w:val="3"/>
  </w:num>
  <w:num w:numId="28" w16cid:durableId="748385350">
    <w:abstractNumId w:val="2"/>
  </w:num>
  <w:num w:numId="29" w16cid:durableId="142700665">
    <w:abstractNumId w:val="1"/>
  </w:num>
  <w:num w:numId="30" w16cid:durableId="222840345">
    <w:abstractNumId w:val="0"/>
  </w:num>
  <w:num w:numId="31" w16cid:durableId="1293362635">
    <w:abstractNumId w:val="9"/>
  </w:num>
  <w:num w:numId="32" w16cid:durableId="146169864">
    <w:abstractNumId w:val="7"/>
  </w:num>
  <w:num w:numId="33" w16cid:durableId="291056423">
    <w:abstractNumId w:val="6"/>
  </w:num>
  <w:num w:numId="34" w16cid:durableId="1079521176">
    <w:abstractNumId w:val="5"/>
  </w:num>
  <w:num w:numId="35" w16cid:durableId="1583757194">
    <w:abstractNumId w:val="4"/>
  </w:num>
  <w:num w:numId="36" w16cid:durableId="1545174534">
    <w:abstractNumId w:val="8"/>
  </w:num>
  <w:num w:numId="37" w16cid:durableId="317391057">
    <w:abstractNumId w:val="3"/>
  </w:num>
  <w:num w:numId="38" w16cid:durableId="1356468377">
    <w:abstractNumId w:val="2"/>
  </w:num>
  <w:num w:numId="39" w16cid:durableId="738527152">
    <w:abstractNumId w:val="1"/>
  </w:num>
  <w:num w:numId="40" w16cid:durableId="1949582437">
    <w:abstractNumId w:val="0"/>
  </w:num>
  <w:num w:numId="41" w16cid:durableId="407072037">
    <w:abstractNumId w:val="10"/>
  </w:num>
  <w:num w:numId="42" w16cid:durableId="883714680">
    <w:abstractNumId w:val="10"/>
  </w:num>
  <w:num w:numId="43" w16cid:durableId="253439370">
    <w:abstractNumId w:val="10"/>
  </w:num>
  <w:num w:numId="44" w16cid:durableId="5928640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7/2025"/>
    <w:docVar w:name="dvlangue" w:val="PL"/>
    <w:docVar w:name="dvnumam" w:val="0"/>
    <w:docVar w:name="dvpe" w:val="772.146"/>
    <w:docVar w:name="dvrapporteur" w:val="Sprawozdawca: "/>
    <w:docVar w:name="dvtitre" w:val="Rezolucja Parlamentu Europejskiego z dnia  2025 r. w sprawie roli unijnych strategii politycznych w kształtowaniu europejskiego modelu sportu(2025/2035(INI))"/>
  </w:docVars>
  <w:rsids>
    <w:rsidRoot w:val="00BD093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6AF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5BFE"/>
    <w:rsid w:val="005C2568"/>
    <w:rsid w:val="005F1B17"/>
    <w:rsid w:val="006037C0"/>
    <w:rsid w:val="00610289"/>
    <w:rsid w:val="006631B6"/>
    <w:rsid w:val="00680577"/>
    <w:rsid w:val="006F74FA"/>
    <w:rsid w:val="00706AA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A1F"/>
    <w:rsid w:val="00AD2198"/>
    <w:rsid w:val="00AE0928"/>
    <w:rsid w:val="00AF3B82"/>
    <w:rsid w:val="00B12E95"/>
    <w:rsid w:val="00B22876"/>
    <w:rsid w:val="00B558F0"/>
    <w:rsid w:val="00B67570"/>
    <w:rsid w:val="00BD093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2620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D5E35F"/>
  <w15:chartTrackingRefBased/>
  <w15:docId w15:val="{0B378FB5-EED2-4BB5-B680-9ECD4A89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06AAC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706AAC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706AAC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706AAC"/>
    <w:rPr>
      <w:b/>
      <w:i/>
      <w:u w:val="none"/>
    </w:rPr>
  </w:style>
  <w:style w:type="character" w:customStyle="1" w:styleId="Italic">
    <w:name w:val="Italic"/>
    <w:uiPriority w:val="1"/>
    <w:rsid w:val="00706AAC"/>
    <w:rPr>
      <w:i/>
    </w:rPr>
  </w:style>
  <w:style w:type="paragraph" w:customStyle="1" w:styleId="Normal12a24b">
    <w:name w:val="Normal12a24b"/>
    <w:basedOn w:val="Normal"/>
    <w:rsid w:val="00706AAC"/>
    <w:pPr>
      <w:spacing w:before="360" w:after="240"/>
    </w:pPr>
    <w:rPr>
      <w:snapToGrid w:val="0"/>
      <w:lang w:val="en-GB" w:eastAsia="en-US"/>
    </w:rPr>
  </w:style>
  <w:style w:type="character" w:styleId="Hyperlink">
    <w:name w:val="Hyperlink"/>
    <w:basedOn w:val="DefaultParagraphFont"/>
    <w:rsid w:val="00706A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PL/ALL/?uri=CELEX%3A52024DC0073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3527/oj" TargetMode="External"/><Relationship Id="rId2" Type="http://schemas.openxmlformats.org/officeDocument/2006/relationships/hyperlink" Target="https://data.europa.eu/doi/10.2766/28433" TargetMode="External"/><Relationship Id="rId1" Type="http://schemas.openxmlformats.org/officeDocument/2006/relationships/hyperlink" Target="http://data.europa.eu/eli/reg/2021/81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2873</Words>
  <Characters>19258</Characters>
  <Application>Microsoft Office Word</Application>
  <DocSecurity>0</DocSecurity>
  <Lines>160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2025-11-04T14:11:00Z</dcterms:created>
  <dcterms:modified xsi:type="dcterms:W3CDTF">2025-11-04T14:11:00Z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A10-0157/2025</vt:lpwstr>
  </property>
  <property fmtid="{D5CDD505-2E9C-101B-9397-08002B2CF9AE}" pid="4" name="&lt;Type&gt;">
    <vt:lpwstr>RR</vt:lpwstr>
  </property>
</Properties>
</file>