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36899" w14:paraId="4792B2E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FDD1852" w14:textId="77777777" w:rsidR="00751A4A" w:rsidRPr="00336899" w:rsidRDefault="00204268" w:rsidP="0010095E">
            <w:pPr>
              <w:pStyle w:val="EPName"/>
            </w:pPr>
            <w:r w:rsidRPr="00336899">
              <w:t xml:space="preserve">Parlamento </w:t>
            </w:r>
            <w:proofErr w:type="gramStart"/>
            <w:r w:rsidRPr="00336899">
              <w:t>Europeu</w:t>
            </w:r>
            <w:proofErr w:type="gramEnd"/>
          </w:p>
          <w:p w14:paraId="5FFAEF43" w14:textId="77777777" w:rsidR="00751A4A" w:rsidRPr="0033689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36899">
              <w:t>2024</w:t>
            </w:r>
            <w:r w:rsidR="00817416" w:rsidRPr="00336899">
              <w:t>-202</w:t>
            </w:r>
            <w:r w:rsidRPr="00336899">
              <w:t>9</w:t>
            </w:r>
          </w:p>
        </w:tc>
        <w:tc>
          <w:tcPr>
            <w:tcW w:w="2268" w:type="dxa"/>
            <w:shd w:val="clear" w:color="auto" w:fill="auto"/>
          </w:tcPr>
          <w:p w14:paraId="38B9B648" w14:textId="77777777" w:rsidR="00751A4A" w:rsidRPr="00336899" w:rsidRDefault="00187494" w:rsidP="0010095E">
            <w:pPr>
              <w:pStyle w:val="EPLogo"/>
            </w:pPr>
            <w:r w:rsidRPr="00336899">
              <w:rPr>
                <w:noProof/>
                <w:lang w:eastAsia="ja-JP"/>
              </w:rPr>
              <w:drawing>
                <wp:inline distT="0" distB="0" distL="0" distR="0" wp14:anchorId="5D325989" wp14:editId="6FA1C57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E75F4D" w14:textId="77777777" w:rsidR="00D058B8" w:rsidRPr="00336899" w:rsidRDefault="00D058B8" w:rsidP="004C5D52">
      <w:pPr>
        <w:pStyle w:val="LineTop"/>
      </w:pPr>
    </w:p>
    <w:p w14:paraId="043FFD12" w14:textId="77777777" w:rsidR="00680577" w:rsidRPr="00336899" w:rsidRDefault="00204268" w:rsidP="00680577">
      <w:pPr>
        <w:pStyle w:val="EPBodyTA1"/>
      </w:pPr>
      <w:r w:rsidRPr="00336899">
        <w:t>TEXTOS APROVADOS</w:t>
      </w:r>
    </w:p>
    <w:p w14:paraId="25DC44D4" w14:textId="77777777" w:rsidR="00D058B8" w:rsidRPr="00336899" w:rsidRDefault="00D058B8" w:rsidP="00D058B8">
      <w:pPr>
        <w:pStyle w:val="LineBottom"/>
      </w:pPr>
    </w:p>
    <w:p w14:paraId="0E492FB7" w14:textId="1A0B7455" w:rsidR="00204268" w:rsidRPr="00336899" w:rsidRDefault="00204268" w:rsidP="00204268">
      <w:pPr>
        <w:pStyle w:val="ATHeading1"/>
      </w:pPr>
      <w:bookmarkStart w:id="0" w:name="TANumber"/>
      <w:r w:rsidRPr="00336899">
        <w:t>P10_</w:t>
      </w:r>
      <w:proofErr w:type="gramStart"/>
      <w:r w:rsidRPr="00336899">
        <w:t>TA(</w:t>
      </w:r>
      <w:proofErr w:type="gramEnd"/>
      <w:r w:rsidRPr="00336899">
        <w:t>2025)</w:t>
      </w:r>
      <w:bookmarkEnd w:id="0"/>
      <w:r w:rsidR="00336899" w:rsidRPr="00336899">
        <w:t>0</w:t>
      </w:r>
      <w:r w:rsidR="00336899" w:rsidRPr="00336899">
        <w:t>212</w:t>
      </w:r>
    </w:p>
    <w:p w14:paraId="28B849E3" w14:textId="447AAFEE" w:rsidR="00204268" w:rsidRPr="00336899" w:rsidRDefault="004C211B" w:rsidP="00204268">
      <w:pPr>
        <w:pStyle w:val="ATHeading2"/>
      </w:pPr>
      <w:bookmarkStart w:id="1" w:name="title"/>
      <w:r w:rsidRPr="00336899">
        <w:t>Papel das políticas da UE na definição do modelo europeu do desporto</w:t>
      </w:r>
      <w:bookmarkEnd w:id="1"/>
    </w:p>
    <w:p w14:paraId="40F74B1A" w14:textId="77777777" w:rsidR="00204268" w:rsidRPr="00336899" w:rsidRDefault="00204268" w:rsidP="00204268">
      <w:pPr>
        <w:rPr>
          <w:i/>
          <w:vanish/>
        </w:rPr>
      </w:pPr>
      <w:r w:rsidRPr="00336899">
        <w:rPr>
          <w:i/>
        </w:rPr>
        <w:fldChar w:fldCharType="begin"/>
      </w:r>
      <w:r w:rsidRPr="00336899">
        <w:rPr>
          <w:i/>
        </w:rPr>
        <w:instrText xml:space="preserve"> TC"(</w:instrText>
      </w:r>
      <w:bookmarkStart w:id="2" w:name="DocNumber"/>
      <w:r w:rsidRPr="00336899">
        <w:rPr>
          <w:i/>
        </w:rPr>
        <w:instrText>A10-0157/2025</w:instrText>
      </w:r>
      <w:bookmarkEnd w:id="2"/>
      <w:r w:rsidRPr="00336899">
        <w:rPr>
          <w:i/>
        </w:rPr>
        <w:instrText xml:space="preserve"> - Relator: </w:instrText>
      </w:r>
      <w:proofErr w:type="spellStart"/>
      <w:r w:rsidRPr="00336899">
        <w:rPr>
          <w:i/>
        </w:rPr>
        <w:instrText>Bogdan</w:instrText>
      </w:r>
      <w:proofErr w:type="spellEnd"/>
      <w:r w:rsidRPr="00336899">
        <w:rPr>
          <w:i/>
        </w:rPr>
        <w:instrText xml:space="preserve"> </w:instrText>
      </w:r>
      <w:proofErr w:type="spellStart"/>
      <w:r w:rsidRPr="00336899">
        <w:rPr>
          <w:i/>
        </w:rPr>
        <w:instrText>Andrzej</w:instrText>
      </w:r>
      <w:proofErr w:type="spellEnd"/>
      <w:r w:rsidRPr="00336899">
        <w:rPr>
          <w:i/>
        </w:rPr>
        <w:instrText xml:space="preserve"> </w:instrText>
      </w:r>
      <w:proofErr w:type="spellStart"/>
      <w:r w:rsidRPr="00336899">
        <w:rPr>
          <w:i/>
        </w:rPr>
        <w:instrText>Zdrojewski</w:instrText>
      </w:r>
      <w:proofErr w:type="spellEnd"/>
      <w:r w:rsidRPr="00336899">
        <w:rPr>
          <w:i/>
        </w:rPr>
        <w:instrText xml:space="preserve">)"\l3 \n&gt; \* MERGEFORMAT </w:instrText>
      </w:r>
      <w:r w:rsidRPr="00336899">
        <w:rPr>
          <w:i/>
        </w:rPr>
        <w:fldChar w:fldCharType="end"/>
      </w:r>
    </w:p>
    <w:p w14:paraId="6A0902C7" w14:textId="77777777" w:rsidR="00204268" w:rsidRPr="00336899" w:rsidRDefault="00204268" w:rsidP="00204268">
      <w:pPr>
        <w:rPr>
          <w:vanish/>
        </w:rPr>
      </w:pPr>
      <w:bookmarkStart w:id="3" w:name="Commission"/>
      <w:r w:rsidRPr="00336899">
        <w:rPr>
          <w:vanish/>
        </w:rPr>
        <w:t>Comissão da Cultura e da Educação</w:t>
      </w:r>
      <w:bookmarkEnd w:id="3"/>
    </w:p>
    <w:p w14:paraId="76BC806E" w14:textId="77777777" w:rsidR="00204268" w:rsidRPr="00336899" w:rsidRDefault="00204268" w:rsidP="00204268">
      <w:pPr>
        <w:rPr>
          <w:vanish/>
        </w:rPr>
      </w:pPr>
      <w:bookmarkStart w:id="4" w:name="PE"/>
      <w:r w:rsidRPr="00336899">
        <w:rPr>
          <w:vanish/>
        </w:rPr>
        <w:t>PE772.146</w:t>
      </w:r>
      <w:bookmarkEnd w:id="4"/>
    </w:p>
    <w:p w14:paraId="37110745" w14:textId="7970ADF8" w:rsidR="00204268" w:rsidRPr="00336899" w:rsidRDefault="00204268" w:rsidP="00204268">
      <w:pPr>
        <w:pStyle w:val="ATHeading3"/>
      </w:pPr>
      <w:bookmarkStart w:id="5" w:name="Sujet"/>
      <w:r w:rsidRPr="00336899">
        <w:t xml:space="preserve">Resolução do Parlamento Europeu, de </w:t>
      </w:r>
      <w:r w:rsidR="004C211B" w:rsidRPr="00336899">
        <w:t xml:space="preserve">7 </w:t>
      </w:r>
      <w:r w:rsidRPr="00336899">
        <w:t xml:space="preserve">de </w:t>
      </w:r>
      <w:r w:rsidR="004C211B" w:rsidRPr="00336899">
        <w:t xml:space="preserve">outubro </w:t>
      </w:r>
      <w:r w:rsidRPr="00336899">
        <w:t>de 2025, sobre o papel das políticas da UE na definição do modelo europeu do desporto</w:t>
      </w:r>
      <w:bookmarkEnd w:id="5"/>
      <w:r w:rsidRPr="00336899">
        <w:t xml:space="preserve"> </w:t>
      </w:r>
      <w:bookmarkStart w:id="6" w:name="References"/>
      <w:r w:rsidRPr="00336899">
        <w:t>(2025/2035(INI))</w:t>
      </w:r>
      <w:bookmarkEnd w:id="6"/>
    </w:p>
    <w:p w14:paraId="1027CE08" w14:textId="7897EBDD" w:rsidR="00282775" w:rsidRPr="00336899" w:rsidRDefault="00282775" w:rsidP="00282775">
      <w:pPr>
        <w:pStyle w:val="EPComma"/>
        <w:rPr>
          <w:lang w:val="pt-PT"/>
        </w:rPr>
      </w:pPr>
      <w:r w:rsidRPr="00336899">
        <w:rPr>
          <w:rStyle w:val="Italic"/>
          <w:lang w:val="pt-PT"/>
        </w:rPr>
        <w:t>O Parlamento Europeu</w:t>
      </w:r>
      <w:r w:rsidRPr="00336899">
        <w:rPr>
          <w:lang w:val="pt-PT"/>
        </w:rPr>
        <w:t>,</w:t>
      </w:r>
    </w:p>
    <w:p w14:paraId="6217B7E2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–</w:t>
      </w:r>
      <w:r w:rsidRPr="00336899">
        <w:rPr>
          <w:lang w:val="pt-PT"/>
        </w:rPr>
        <w:tab/>
        <w:t>Tendo em conta o Tratado sobre o Funcionamento da União Europeia, nomeadamente os seus artigos 6.º e 165.º, que especificam as competências e as ações da União no domínio do desporto, em particular a promoção da dimensão europeia do desporto, tendo simultaneamente em conta as especificidades do desporto, as suas estruturas baseadas no voluntariado e a sua função social e educativa, bem como os respetivos artigos 26.º e 114.º, que especificam as competências da União no que diz respeito ao seu mercado interno,</w:t>
      </w:r>
    </w:p>
    <w:p w14:paraId="42F65508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–</w:t>
      </w:r>
      <w:r w:rsidRPr="00336899">
        <w:rPr>
          <w:lang w:val="pt-PT"/>
        </w:rPr>
        <w:tab/>
        <w:t>Tendo em conta o Regulamento (UE) 2021/817 do Parlamento Europeu e do Conselho, de 20 de maio de 2021, que cria o Erasmus+: o Programa da União para a educação e formação, a juventude e o desporto, e que revoga o Regulamento (UE) n.º 1288/2013</w:t>
      </w:r>
      <w:r w:rsidRPr="00336899">
        <w:rPr>
          <w:rStyle w:val="FootnoteReference"/>
          <w:lang w:val="pt-PT"/>
        </w:rPr>
        <w:footnoteReference w:id="1"/>
      </w:r>
      <w:r w:rsidRPr="00336899">
        <w:rPr>
          <w:lang w:val="pt-PT"/>
        </w:rPr>
        <w:t>, nomeadamente o seu capítulo IV sobre desporto,</w:t>
      </w:r>
    </w:p>
    <w:p w14:paraId="7F28FE60" w14:textId="5DF24A8E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–</w:t>
      </w:r>
      <w:r w:rsidRPr="00336899">
        <w:rPr>
          <w:lang w:val="pt-PT"/>
        </w:rPr>
        <w:tab/>
        <w:t>Tendo em conta a Comunicação da Comissão, de 11 de julho de 2007, intitulada «Livro branco sobre o desporto» (</w:t>
      </w:r>
      <w:proofErr w:type="gramStart"/>
      <w:r w:rsidR="004C211B" w:rsidRPr="00336899">
        <w:rPr>
          <w:lang w:val="pt-PT"/>
        </w:rPr>
        <w:t>COM(</w:t>
      </w:r>
      <w:proofErr w:type="gramEnd"/>
      <w:r w:rsidR="004C211B" w:rsidRPr="00336899">
        <w:rPr>
          <w:lang w:val="pt-PT"/>
        </w:rPr>
        <w:t>2007)0391</w:t>
      </w:r>
      <w:r w:rsidRPr="00336899">
        <w:rPr>
          <w:lang w:val="pt-PT"/>
        </w:rPr>
        <w:t>),</w:t>
      </w:r>
    </w:p>
    <w:p w14:paraId="62B3AD59" w14:textId="3322FF28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–</w:t>
      </w:r>
      <w:r w:rsidRPr="00336899">
        <w:rPr>
          <w:lang w:val="pt-PT"/>
        </w:rPr>
        <w:tab/>
        <w:t>Tendo em conta a Comunicação da Comissão, de 18 de janeiro de 2011, intitulada «Desenvolver a Dimensão Europeia do Desporto» (</w:t>
      </w:r>
      <w:proofErr w:type="gramStart"/>
      <w:r w:rsidR="004C211B" w:rsidRPr="00336899">
        <w:rPr>
          <w:lang w:val="pt-PT"/>
        </w:rPr>
        <w:t>COM(</w:t>
      </w:r>
      <w:proofErr w:type="gramEnd"/>
      <w:r w:rsidR="004C211B" w:rsidRPr="00336899">
        <w:rPr>
          <w:lang w:val="pt-PT"/>
        </w:rPr>
        <w:t>2011)0012</w:t>
      </w:r>
      <w:r w:rsidRPr="00336899">
        <w:rPr>
          <w:lang w:val="pt-PT"/>
        </w:rPr>
        <w:t>),</w:t>
      </w:r>
    </w:p>
    <w:p w14:paraId="220E0E91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–</w:t>
      </w:r>
      <w:r w:rsidRPr="00336899">
        <w:rPr>
          <w:lang w:val="pt-PT"/>
        </w:rPr>
        <w:tab/>
        <w:t>Tendo em conta a sua Resolução, de 2 de fevereiro de 2012, sobre a dimensão europeia do desporto</w:t>
      </w:r>
      <w:r w:rsidRPr="00336899">
        <w:rPr>
          <w:rStyle w:val="FootnoteReference"/>
          <w:lang w:val="pt-PT"/>
        </w:rPr>
        <w:footnoteReference w:id="2"/>
      </w:r>
      <w:r w:rsidRPr="00336899">
        <w:rPr>
          <w:lang w:val="pt-PT"/>
        </w:rPr>
        <w:t>,</w:t>
      </w:r>
    </w:p>
    <w:p w14:paraId="1051A559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–</w:t>
      </w:r>
      <w:r w:rsidRPr="00336899">
        <w:rPr>
          <w:lang w:val="pt-PT"/>
        </w:rPr>
        <w:tab/>
        <w:t>Tendo em conta a sua Resolução, de 14 de março de 2013, sobre a viciação de resultados e a corrupção no desporto</w:t>
      </w:r>
      <w:r w:rsidRPr="00336899">
        <w:rPr>
          <w:rStyle w:val="FootnoteReference"/>
          <w:lang w:val="pt-PT"/>
        </w:rPr>
        <w:footnoteReference w:id="3"/>
      </w:r>
      <w:r w:rsidRPr="00336899">
        <w:rPr>
          <w:lang w:val="pt-PT"/>
        </w:rPr>
        <w:t>,</w:t>
      </w:r>
    </w:p>
    <w:p w14:paraId="2741048D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lastRenderedPageBreak/>
        <w:t>–</w:t>
      </w:r>
      <w:r w:rsidRPr="00336899">
        <w:rPr>
          <w:lang w:val="pt-PT"/>
        </w:rPr>
        <w:tab/>
        <w:t>Tendo em conta a sua Resolução, de 2 de fevereiro de 2017, sobre uma abordagem integrada da política do desporto: boa governação, acessibilidade e integridade</w:t>
      </w:r>
      <w:r w:rsidRPr="00336899">
        <w:rPr>
          <w:rStyle w:val="FootnoteReference"/>
          <w:lang w:val="pt-PT"/>
        </w:rPr>
        <w:footnoteReference w:id="4"/>
      </w:r>
      <w:r w:rsidRPr="00336899">
        <w:rPr>
          <w:lang w:val="pt-PT"/>
        </w:rPr>
        <w:t>,</w:t>
      </w:r>
    </w:p>
    <w:p w14:paraId="04585810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–</w:t>
      </w:r>
      <w:r w:rsidRPr="00336899">
        <w:rPr>
          <w:lang w:val="pt-PT"/>
        </w:rPr>
        <w:tab/>
        <w:t>Tendo em conta a sua Resolução, de 19 de maio de 2021, que contém recomendações à Comissão sobre os desafios enfrentados pelos organizadores de eventos desportivos no ambiente digital</w:t>
      </w:r>
      <w:r w:rsidRPr="00336899">
        <w:rPr>
          <w:rStyle w:val="FootnoteReference"/>
          <w:lang w:val="pt-PT"/>
        </w:rPr>
        <w:footnoteReference w:id="5"/>
      </w:r>
      <w:r w:rsidRPr="00336899">
        <w:rPr>
          <w:lang w:val="pt-PT"/>
        </w:rPr>
        <w:t>,</w:t>
      </w:r>
    </w:p>
    <w:p w14:paraId="4C371230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–</w:t>
      </w:r>
      <w:r w:rsidRPr="00336899">
        <w:rPr>
          <w:lang w:val="pt-PT"/>
        </w:rPr>
        <w:tab/>
        <w:t>Tendo em conta a sua Resolução, de 23 de novembro de 2021, sobre a política desportiva da UE: avaliação e eventual rumo futuro</w:t>
      </w:r>
      <w:r w:rsidRPr="00336899">
        <w:rPr>
          <w:rStyle w:val="FootnoteReference"/>
          <w:lang w:val="pt-PT"/>
        </w:rPr>
        <w:footnoteReference w:id="6"/>
      </w:r>
      <w:r w:rsidRPr="00336899">
        <w:rPr>
          <w:lang w:val="pt-PT"/>
        </w:rPr>
        <w:t>,</w:t>
      </w:r>
    </w:p>
    <w:p w14:paraId="77C19400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–</w:t>
      </w:r>
      <w:r w:rsidRPr="00336899">
        <w:rPr>
          <w:lang w:val="pt-PT"/>
        </w:rPr>
        <w:tab/>
        <w:t xml:space="preserve">Tendo em conta o estudo solicitado pela sua Comissão da Cultura e da Educação intitulado «EU sports </w:t>
      </w:r>
      <w:proofErr w:type="spellStart"/>
      <w:r w:rsidRPr="00336899">
        <w:rPr>
          <w:lang w:val="pt-PT"/>
        </w:rPr>
        <w:t>policy</w:t>
      </w:r>
      <w:proofErr w:type="spellEnd"/>
      <w:r w:rsidRPr="00336899">
        <w:rPr>
          <w:lang w:val="pt-PT"/>
        </w:rPr>
        <w:t xml:space="preserve">: </w:t>
      </w:r>
      <w:proofErr w:type="spellStart"/>
      <w:r w:rsidRPr="00336899">
        <w:rPr>
          <w:lang w:val="pt-PT"/>
        </w:rPr>
        <w:t>assessment</w:t>
      </w:r>
      <w:proofErr w:type="spellEnd"/>
      <w:r w:rsidRPr="00336899">
        <w:rPr>
          <w:lang w:val="pt-PT"/>
        </w:rPr>
        <w:t xml:space="preserve"> </w:t>
      </w:r>
      <w:proofErr w:type="spellStart"/>
      <w:r w:rsidRPr="00336899">
        <w:rPr>
          <w:lang w:val="pt-PT"/>
        </w:rPr>
        <w:t>and</w:t>
      </w:r>
      <w:proofErr w:type="spellEnd"/>
      <w:r w:rsidRPr="00336899">
        <w:rPr>
          <w:lang w:val="pt-PT"/>
        </w:rPr>
        <w:t xml:space="preserve"> </w:t>
      </w:r>
      <w:proofErr w:type="spellStart"/>
      <w:r w:rsidRPr="00336899">
        <w:rPr>
          <w:lang w:val="pt-PT"/>
        </w:rPr>
        <w:t>possible</w:t>
      </w:r>
      <w:proofErr w:type="spellEnd"/>
      <w:r w:rsidRPr="00336899">
        <w:rPr>
          <w:lang w:val="pt-PT"/>
        </w:rPr>
        <w:t xml:space="preserve"> </w:t>
      </w:r>
      <w:proofErr w:type="spellStart"/>
      <w:r w:rsidRPr="00336899">
        <w:rPr>
          <w:lang w:val="pt-PT"/>
        </w:rPr>
        <w:t>ways</w:t>
      </w:r>
      <w:proofErr w:type="spellEnd"/>
      <w:r w:rsidRPr="00336899">
        <w:rPr>
          <w:lang w:val="pt-PT"/>
        </w:rPr>
        <w:t xml:space="preserve"> </w:t>
      </w:r>
      <w:proofErr w:type="spellStart"/>
      <w:r w:rsidRPr="00336899">
        <w:rPr>
          <w:lang w:val="pt-PT"/>
        </w:rPr>
        <w:t>forward</w:t>
      </w:r>
      <w:proofErr w:type="spellEnd"/>
      <w:r w:rsidRPr="00336899">
        <w:rPr>
          <w:lang w:val="pt-PT"/>
        </w:rPr>
        <w:t>» [Política desportiva da UE: avaliação e eventual rumo futuro], publicado pela Direção-Geral das Políticas Internas, em junho de 2021</w:t>
      </w:r>
      <w:r w:rsidRPr="00336899">
        <w:rPr>
          <w:rStyle w:val="FootnoteReference"/>
          <w:lang w:val="pt-PT"/>
        </w:rPr>
        <w:footnoteReference w:id="7"/>
      </w:r>
      <w:r w:rsidRPr="00336899">
        <w:rPr>
          <w:lang w:val="pt-PT"/>
        </w:rPr>
        <w:t>,</w:t>
      </w:r>
    </w:p>
    <w:p w14:paraId="5857B8AA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–</w:t>
      </w:r>
      <w:r w:rsidRPr="00336899">
        <w:rPr>
          <w:lang w:val="pt-PT"/>
        </w:rPr>
        <w:tab/>
        <w:t>Tendo em conta o estudo da Comissão intitulado «</w:t>
      </w:r>
      <w:proofErr w:type="spellStart"/>
      <w:r w:rsidRPr="00336899">
        <w:rPr>
          <w:lang w:val="pt-PT"/>
        </w:rPr>
        <w:t>Study</w:t>
      </w:r>
      <w:proofErr w:type="spellEnd"/>
      <w:r w:rsidRPr="00336899">
        <w:rPr>
          <w:lang w:val="pt-PT"/>
        </w:rPr>
        <w:t xml:space="preserve"> </w:t>
      </w:r>
      <w:proofErr w:type="spellStart"/>
      <w:r w:rsidRPr="00336899">
        <w:rPr>
          <w:lang w:val="pt-PT"/>
        </w:rPr>
        <w:t>on</w:t>
      </w:r>
      <w:proofErr w:type="spellEnd"/>
      <w:r w:rsidRPr="00336899">
        <w:rPr>
          <w:lang w:val="pt-PT"/>
        </w:rPr>
        <w:t xml:space="preserve"> the </w:t>
      </w:r>
      <w:proofErr w:type="spellStart"/>
      <w:r w:rsidRPr="00336899">
        <w:rPr>
          <w:lang w:val="pt-PT"/>
        </w:rPr>
        <w:t>European</w:t>
      </w:r>
      <w:proofErr w:type="spellEnd"/>
      <w:r w:rsidRPr="00336899">
        <w:rPr>
          <w:lang w:val="pt-PT"/>
        </w:rPr>
        <w:t xml:space="preserve"> sport </w:t>
      </w:r>
      <w:proofErr w:type="spellStart"/>
      <w:r w:rsidRPr="00336899">
        <w:rPr>
          <w:lang w:val="pt-PT"/>
        </w:rPr>
        <w:t>model</w:t>
      </w:r>
      <w:proofErr w:type="spellEnd"/>
      <w:r w:rsidRPr="00336899">
        <w:rPr>
          <w:lang w:val="pt-PT"/>
        </w:rPr>
        <w:t>» [Estudo sobre o modelo europeu do desporto], publicado em abril de 2022</w:t>
      </w:r>
      <w:r w:rsidRPr="00336899">
        <w:rPr>
          <w:rStyle w:val="FootnoteReference"/>
          <w:lang w:val="pt-PT"/>
        </w:rPr>
        <w:footnoteReference w:id="8"/>
      </w:r>
      <w:r w:rsidRPr="00336899">
        <w:rPr>
          <w:lang w:val="pt-PT"/>
        </w:rPr>
        <w:t>,</w:t>
      </w:r>
    </w:p>
    <w:p w14:paraId="3854248E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–</w:t>
      </w:r>
      <w:r w:rsidRPr="00336899">
        <w:rPr>
          <w:lang w:val="pt-PT"/>
        </w:rPr>
        <w:tab/>
        <w:t>Tendo em conta a Resolução, de 3 de junho de 2024, do Conselho e dos representantes dos Governos dos Estados-Membros, reunidos no Conselho sobre o Plano de Trabalho da União Europeia para o Desporto (1 de julho de 2024 – 31 de dezembro de 2027)</w:t>
      </w:r>
      <w:r w:rsidRPr="00336899">
        <w:rPr>
          <w:rStyle w:val="FootnoteReference"/>
          <w:lang w:val="pt-PT"/>
        </w:rPr>
        <w:footnoteReference w:id="9"/>
      </w:r>
      <w:r w:rsidRPr="00336899">
        <w:rPr>
          <w:lang w:val="pt-PT"/>
        </w:rPr>
        <w:t>,</w:t>
      </w:r>
    </w:p>
    <w:p w14:paraId="0F0B2A6A" w14:textId="60A365A4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–</w:t>
      </w:r>
      <w:r w:rsidRPr="00336899">
        <w:rPr>
          <w:lang w:val="pt-PT"/>
        </w:rPr>
        <w:tab/>
        <w:t xml:space="preserve">Tendo em conta o Relatório da Comissão, de 14 de fevereiro de 2024, sobre a execução e a pertinência do Plano de Trabalho da União Europeia para o Desporto (2021–2024) e da Recomendação relativa à promoção </w:t>
      </w:r>
      <w:proofErr w:type="spellStart"/>
      <w:r w:rsidRPr="00336899">
        <w:rPr>
          <w:lang w:val="pt-PT"/>
        </w:rPr>
        <w:t>transetorial</w:t>
      </w:r>
      <w:proofErr w:type="spellEnd"/>
      <w:r w:rsidRPr="00336899">
        <w:rPr>
          <w:lang w:val="pt-PT"/>
        </w:rPr>
        <w:t xml:space="preserve"> de atividades físicas benéficas para a saúde (</w:t>
      </w:r>
      <w:proofErr w:type="gramStart"/>
      <w:r w:rsidR="004C211B" w:rsidRPr="00336899">
        <w:rPr>
          <w:lang w:val="pt-PT"/>
        </w:rPr>
        <w:t>COM(</w:t>
      </w:r>
      <w:proofErr w:type="gramEnd"/>
      <w:r w:rsidR="004C211B" w:rsidRPr="00336899">
        <w:rPr>
          <w:lang w:val="pt-PT"/>
        </w:rPr>
        <w:t>2024)0073</w:t>
      </w:r>
      <w:r w:rsidRPr="00336899">
        <w:rPr>
          <w:lang w:val="pt-PT"/>
        </w:rPr>
        <w:t>),</w:t>
      </w:r>
    </w:p>
    <w:p w14:paraId="3A66DB48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–</w:t>
      </w:r>
      <w:r w:rsidRPr="00336899">
        <w:rPr>
          <w:lang w:val="pt-PT"/>
        </w:rPr>
        <w:tab/>
        <w:t xml:space="preserve">Tendo em conta a Convenção do Conselho da Europa sobre a Manipulação de Competições Desportivas (Convenção </w:t>
      </w:r>
      <w:proofErr w:type="spellStart"/>
      <w:r w:rsidRPr="00336899">
        <w:rPr>
          <w:lang w:val="pt-PT"/>
        </w:rPr>
        <w:t>Macolin</w:t>
      </w:r>
      <w:proofErr w:type="spellEnd"/>
      <w:r w:rsidRPr="00336899">
        <w:rPr>
          <w:lang w:val="pt-PT"/>
        </w:rPr>
        <w:t>), assinada em 18 de setembro de 2014,</w:t>
      </w:r>
    </w:p>
    <w:p w14:paraId="16F72A88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–</w:t>
      </w:r>
      <w:r w:rsidRPr="00336899">
        <w:rPr>
          <w:lang w:val="pt-PT"/>
        </w:rPr>
        <w:tab/>
        <w:t>Tendo em conta a Carta Europeia do Desporto revista, adotada pelo Conselho da Europa em 13 de outubro de 2021,</w:t>
      </w:r>
    </w:p>
    <w:p w14:paraId="232760ED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–</w:t>
      </w:r>
      <w:r w:rsidRPr="00336899">
        <w:rPr>
          <w:lang w:val="pt-PT"/>
        </w:rPr>
        <w:tab/>
        <w:t>Tendo em conta a Carta Internacional da Educação Física, da Atividade Física e do Desporto, de 2015, da Organização das Nações Unidas para a Educação, Ciência e Cultura (UNESCO),</w:t>
      </w:r>
    </w:p>
    <w:p w14:paraId="38BE1C72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lastRenderedPageBreak/>
        <w:t>–</w:t>
      </w:r>
      <w:r w:rsidRPr="00336899">
        <w:rPr>
          <w:lang w:val="pt-PT"/>
        </w:rPr>
        <w:tab/>
        <w:t xml:space="preserve">Tendo em conta os recentes acórdãos do Tribunal de Justiça da União Europeia (TJUE) relativos ao desporto, incluindo os processos C-124/21 P, </w:t>
      </w:r>
      <w:proofErr w:type="spellStart"/>
      <w:r w:rsidRPr="00336899">
        <w:rPr>
          <w:lang w:val="pt-PT"/>
        </w:rPr>
        <w:t>International</w:t>
      </w:r>
      <w:proofErr w:type="spellEnd"/>
      <w:r w:rsidRPr="00336899">
        <w:rPr>
          <w:lang w:val="pt-PT"/>
        </w:rPr>
        <w:t xml:space="preserve"> </w:t>
      </w:r>
      <w:proofErr w:type="spellStart"/>
      <w:r w:rsidRPr="00336899">
        <w:rPr>
          <w:lang w:val="pt-PT"/>
        </w:rPr>
        <w:t>Skating</w:t>
      </w:r>
      <w:proofErr w:type="spellEnd"/>
      <w:r w:rsidRPr="00336899">
        <w:rPr>
          <w:lang w:val="pt-PT"/>
        </w:rPr>
        <w:t xml:space="preserve"> </w:t>
      </w:r>
      <w:proofErr w:type="spellStart"/>
      <w:r w:rsidRPr="00336899">
        <w:rPr>
          <w:lang w:val="pt-PT"/>
        </w:rPr>
        <w:t>Union</w:t>
      </w:r>
      <w:proofErr w:type="spellEnd"/>
      <w:r w:rsidRPr="00336899">
        <w:rPr>
          <w:lang w:val="pt-PT"/>
        </w:rPr>
        <w:t>/Comissão</w:t>
      </w:r>
      <w:r w:rsidRPr="00336899">
        <w:rPr>
          <w:rStyle w:val="FootnoteReference"/>
          <w:lang w:val="pt-PT"/>
        </w:rPr>
        <w:footnoteReference w:id="10"/>
      </w:r>
      <w:r w:rsidRPr="00336899">
        <w:rPr>
          <w:lang w:val="pt-PT"/>
        </w:rPr>
        <w:t xml:space="preserve">, C-680/21, </w:t>
      </w:r>
      <w:proofErr w:type="spellStart"/>
      <w:r w:rsidRPr="00336899">
        <w:rPr>
          <w:lang w:val="pt-PT"/>
        </w:rPr>
        <w:t>Royal</w:t>
      </w:r>
      <w:proofErr w:type="spellEnd"/>
      <w:r w:rsidRPr="00336899">
        <w:rPr>
          <w:lang w:val="pt-PT"/>
        </w:rPr>
        <w:t xml:space="preserve"> </w:t>
      </w:r>
      <w:proofErr w:type="spellStart"/>
      <w:r w:rsidRPr="00336899">
        <w:rPr>
          <w:lang w:val="pt-PT"/>
        </w:rPr>
        <w:t>Antwerp</w:t>
      </w:r>
      <w:proofErr w:type="spellEnd"/>
      <w:r w:rsidRPr="00336899">
        <w:rPr>
          <w:lang w:val="pt-PT"/>
        </w:rPr>
        <w:t xml:space="preserve"> </w:t>
      </w:r>
      <w:proofErr w:type="spellStart"/>
      <w:r w:rsidRPr="00336899">
        <w:rPr>
          <w:lang w:val="pt-PT"/>
        </w:rPr>
        <w:t>Football</w:t>
      </w:r>
      <w:proofErr w:type="spellEnd"/>
      <w:r w:rsidRPr="00336899">
        <w:rPr>
          <w:lang w:val="pt-PT"/>
        </w:rPr>
        <w:t xml:space="preserve"> Club/</w:t>
      </w:r>
      <w:proofErr w:type="spellStart"/>
      <w:r w:rsidRPr="00336899">
        <w:rPr>
          <w:lang w:val="pt-PT"/>
        </w:rPr>
        <w:t>Union</w:t>
      </w:r>
      <w:proofErr w:type="spellEnd"/>
      <w:r w:rsidRPr="00336899">
        <w:rPr>
          <w:lang w:val="pt-PT"/>
        </w:rPr>
        <w:t xml:space="preserve"> </w:t>
      </w:r>
      <w:proofErr w:type="spellStart"/>
      <w:r w:rsidRPr="00336899">
        <w:rPr>
          <w:lang w:val="pt-PT"/>
        </w:rPr>
        <w:t>royale</w:t>
      </w:r>
      <w:proofErr w:type="spellEnd"/>
      <w:r w:rsidRPr="00336899">
        <w:rPr>
          <w:lang w:val="pt-PT"/>
        </w:rPr>
        <w:t xml:space="preserve"> </w:t>
      </w:r>
      <w:proofErr w:type="spellStart"/>
      <w:r w:rsidRPr="00336899">
        <w:rPr>
          <w:lang w:val="pt-PT"/>
        </w:rPr>
        <w:t>belge</w:t>
      </w:r>
      <w:proofErr w:type="spellEnd"/>
      <w:r w:rsidRPr="00336899">
        <w:rPr>
          <w:lang w:val="pt-PT"/>
        </w:rPr>
        <w:t xml:space="preserve"> </w:t>
      </w:r>
      <w:proofErr w:type="spellStart"/>
      <w:r w:rsidRPr="00336899">
        <w:rPr>
          <w:lang w:val="pt-PT"/>
        </w:rPr>
        <w:t>des</w:t>
      </w:r>
      <w:proofErr w:type="spellEnd"/>
      <w:r w:rsidRPr="00336899">
        <w:rPr>
          <w:lang w:val="pt-PT"/>
        </w:rPr>
        <w:t xml:space="preserve"> </w:t>
      </w:r>
      <w:proofErr w:type="spellStart"/>
      <w:r w:rsidRPr="00336899">
        <w:rPr>
          <w:lang w:val="pt-PT"/>
        </w:rPr>
        <w:t>sociétés</w:t>
      </w:r>
      <w:proofErr w:type="spellEnd"/>
      <w:r w:rsidRPr="00336899">
        <w:rPr>
          <w:lang w:val="pt-PT"/>
        </w:rPr>
        <w:t xml:space="preserve"> de </w:t>
      </w:r>
      <w:proofErr w:type="spellStart"/>
      <w:r w:rsidRPr="00336899">
        <w:rPr>
          <w:lang w:val="pt-PT"/>
        </w:rPr>
        <w:t>football</w:t>
      </w:r>
      <w:proofErr w:type="spellEnd"/>
      <w:r w:rsidRPr="00336899">
        <w:rPr>
          <w:lang w:val="pt-PT"/>
        </w:rPr>
        <w:t xml:space="preserve"> </w:t>
      </w:r>
      <w:proofErr w:type="spellStart"/>
      <w:r w:rsidRPr="00336899">
        <w:rPr>
          <w:lang w:val="pt-PT"/>
        </w:rPr>
        <w:t>association</w:t>
      </w:r>
      <w:proofErr w:type="spellEnd"/>
      <w:r w:rsidRPr="00336899">
        <w:rPr>
          <w:rStyle w:val="FootnoteReference"/>
          <w:lang w:val="pt-PT"/>
        </w:rPr>
        <w:footnoteReference w:id="11"/>
      </w:r>
      <w:r w:rsidRPr="00336899">
        <w:rPr>
          <w:lang w:val="pt-PT"/>
        </w:rPr>
        <w:t xml:space="preserve">, C-333/21, </w:t>
      </w:r>
      <w:proofErr w:type="spellStart"/>
      <w:r w:rsidRPr="00336899">
        <w:rPr>
          <w:lang w:val="pt-PT"/>
        </w:rPr>
        <w:t>European</w:t>
      </w:r>
      <w:proofErr w:type="spellEnd"/>
      <w:r w:rsidRPr="00336899">
        <w:rPr>
          <w:lang w:val="pt-PT"/>
        </w:rPr>
        <w:t xml:space="preserve"> </w:t>
      </w:r>
      <w:proofErr w:type="spellStart"/>
      <w:r w:rsidRPr="00336899">
        <w:rPr>
          <w:lang w:val="pt-PT"/>
        </w:rPr>
        <w:t>Superleague</w:t>
      </w:r>
      <w:proofErr w:type="spellEnd"/>
      <w:r w:rsidRPr="00336899">
        <w:rPr>
          <w:lang w:val="pt-PT"/>
        </w:rPr>
        <w:t xml:space="preserve"> </w:t>
      </w:r>
      <w:proofErr w:type="spellStart"/>
      <w:r w:rsidRPr="00336899">
        <w:rPr>
          <w:lang w:val="pt-PT"/>
        </w:rPr>
        <w:t>Company</w:t>
      </w:r>
      <w:proofErr w:type="spellEnd"/>
      <w:r w:rsidRPr="00336899">
        <w:rPr>
          <w:lang w:val="pt-PT"/>
        </w:rPr>
        <w:t>/FIFA e UEFA</w:t>
      </w:r>
      <w:r w:rsidRPr="00336899">
        <w:rPr>
          <w:rStyle w:val="FootnoteReference"/>
          <w:lang w:val="pt-PT"/>
        </w:rPr>
        <w:footnoteReference w:id="12"/>
      </w:r>
      <w:r w:rsidRPr="00336899">
        <w:rPr>
          <w:lang w:val="pt-PT"/>
        </w:rPr>
        <w:t xml:space="preserve"> e C-650/22, FIFA/BZ</w:t>
      </w:r>
      <w:r w:rsidRPr="00336899">
        <w:rPr>
          <w:rStyle w:val="FootnoteReference"/>
          <w:lang w:val="pt-PT"/>
        </w:rPr>
        <w:footnoteReference w:id="13"/>
      </w:r>
      <w:r w:rsidRPr="00336899">
        <w:rPr>
          <w:lang w:val="pt-PT"/>
        </w:rPr>
        <w:t>,</w:t>
      </w:r>
    </w:p>
    <w:p w14:paraId="70560BAA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–</w:t>
      </w:r>
      <w:r w:rsidRPr="00336899">
        <w:rPr>
          <w:lang w:val="pt-PT"/>
        </w:rPr>
        <w:tab/>
        <w:t>Tendo em conta a Resolução de 12 de dezembro de 2021 do Conselho e dos representantes dos Governos dos Estados-Membros, reunidos no Conselho, sobre as características principais de um modelo europeu do desporto</w:t>
      </w:r>
      <w:r w:rsidRPr="00336899">
        <w:rPr>
          <w:rStyle w:val="FootnoteReference"/>
          <w:lang w:val="pt-PT"/>
        </w:rPr>
        <w:footnoteReference w:id="14"/>
      </w:r>
      <w:r w:rsidRPr="00336899">
        <w:rPr>
          <w:lang w:val="pt-PT"/>
        </w:rPr>
        <w:t>,</w:t>
      </w:r>
    </w:p>
    <w:p w14:paraId="300A7930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–</w:t>
      </w:r>
      <w:r w:rsidRPr="00336899">
        <w:rPr>
          <w:lang w:val="pt-PT"/>
        </w:rPr>
        <w:tab/>
        <w:t>Tendo em conta o artigo 55.º do seu Regimento,</w:t>
      </w:r>
    </w:p>
    <w:p w14:paraId="1CD7E6CE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–</w:t>
      </w:r>
      <w:r w:rsidRPr="00336899">
        <w:rPr>
          <w:lang w:val="pt-PT"/>
        </w:rPr>
        <w:tab/>
        <w:t>Tendo em conta o relatório da Comissão da Cultura e da Educação (A10-0157/2025),</w:t>
      </w:r>
    </w:p>
    <w:p w14:paraId="21BE2170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A.</w:t>
      </w:r>
      <w:r w:rsidRPr="00336899">
        <w:rPr>
          <w:lang w:val="pt-PT"/>
        </w:rPr>
        <w:tab/>
        <w:t>Considerando que o desporto é um bem público europeu e um recurso europeu cada vez mais valioso — social, económico, político e cultural;</w:t>
      </w:r>
    </w:p>
    <w:p w14:paraId="16158CCC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B.</w:t>
      </w:r>
      <w:r w:rsidRPr="00336899">
        <w:rPr>
          <w:lang w:val="pt-PT"/>
        </w:rPr>
        <w:tab/>
        <w:t>Considerando que o desporto e a atividade física desempenham um papel importante na vida das pessoas, ao reunir comunidades e pessoas e ao melhorar a saúde e o bem-estar;</w:t>
      </w:r>
    </w:p>
    <w:p w14:paraId="53C7300C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C.</w:t>
      </w:r>
      <w:r w:rsidRPr="00336899">
        <w:rPr>
          <w:lang w:val="pt-PT"/>
        </w:rPr>
        <w:tab/>
        <w:t>Considerando que o desporto e a atividade física são vetores de integração e de inclusão e que desperta um sentimento de pertença à comunidade, especialmente nas pessoas com menos oportunidades;</w:t>
      </w:r>
    </w:p>
    <w:p w14:paraId="1B8B1035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D.</w:t>
      </w:r>
      <w:r w:rsidRPr="00336899">
        <w:rPr>
          <w:lang w:val="pt-PT"/>
        </w:rPr>
        <w:tab/>
        <w:t>Considerando que o desporto e a atividade física desempenham um papel vital na promoção de valores da UE como a democracia, o respeito, a solidariedade, a diversidade e a igualdade;</w:t>
      </w:r>
    </w:p>
    <w:p w14:paraId="40F97E8C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E.</w:t>
      </w:r>
      <w:r w:rsidRPr="00336899">
        <w:rPr>
          <w:lang w:val="pt-PT"/>
        </w:rPr>
        <w:tab/>
        <w:t>Considerando que o modelo europeu do desporto assenta em características fundamentais, como os princípios da solidariedade, da sustentabilidade, da integridade, da inclusão, do mérito desportivo, da territorialidade e das competições abertas;</w:t>
      </w:r>
    </w:p>
    <w:p w14:paraId="3E788AAA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F.</w:t>
      </w:r>
      <w:r w:rsidRPr="00336899">
        <w:rPr>
          <w:lang w:val="pt-PT"/>
        </w:rPr>
        <w:tab/>
        <w:t>Considerando que é necessário manter um equilíbrio saudável entre as competições de equipas nacionais e as competições de clubes;</w:t>
      </w:r>
    </w:p>
    <w:p w14:paraId="316C7260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G.</w:t>
      </w:r>
      <w:r w:rsidRPr="00336899">
        <w:rPr>
          <w:lang w:val="pt-PT"/>
        </w:rPr>
        <w:tab/>
        <w:t>Considerando que o modelo europeu do desporto abrange o desporto profissional e o desporto recreativo;</w:t>
      </w:r>
    </w:p>
    <w:p w14:paraId="286CA5D1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lastRenderedPageBreak/>
        <w:t>H.</w:t>
      </w:r>
      <w:r w:rsidRPr="00336899">
        <w:rPr>
          <w:lang w:val="pt-PT"/>
        </w:rPr>
        <w:tab/>
        <w:t>Considerando que o desporto é uma força motriz da política de coesão da UE, em particular nas zonas rurais, desfavorecidas e remotas, que são confrontadas com fundos limitados, infraestruturas insuficientes e um decréscimo do número de aderentes;</w:t>
      </w:r>
    </w:p>
    <w:p w14:paraId="6B220DB4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I.</w:t>
      </w:r>
      <w:r w:rsidRPr="00336899">
        <w:rPr>
          <w:lang w:val="pt-PT"/>
        </w:rPr>
        <w:tab/>
        <w:t>Considerando que a maioria das receitas dos desportos de base provém das contribuições dos próprios cidadãos, do trabalho não remunerado de voluntários, do apoio das empresas locais e das subvenções dos municípios;</w:t>
      </w:r>
    </w:p>
    <w:p w14:paraId="147496DF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J.</w:t>
      </w:r>
      <w:r w:rsidRPr="00336899">
        <w:rPr>
          <w:lang w:val="pt-PT"/>
        </w:rPr>
        <w:tab/>
        <w:t>Considerando que o modelo europeu do desporto abrange o desenvolvimento do desporto feminino e a promoção da igualdade de género no desporto;</w:t>
      </w:r>
    </w:p>
    <w:p w14:paraId="57CCB2D1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K.</w:t>
      </w:r>
      <w:r w:rsidRPr="00336899">
        <w:rPr>
          <w:lang w:val="pt-PT"/>
        </w:rPr>
        <w:tab/>
        <w:t>Considerando que se pode verificar um declínio preocupante do número de voluntários no desporto recreativo;</w:t>
      </w:r>
    </w:p>
    <w:p w14:paraId="62F4D28B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L.</w:t>
      </w:r>
      <w:r w:rsidRPr="00336899">
        <w:rPr>
          <w:lang w:val="pt-PT"/>
        </w:rPr>
        <w:tab/>
        <w:t>Considerando que, frequentemente, os atletas dispõem de uma proteção social insuficiente e são confrontados com um aumento da intensidade do desporto que praticam e dos calendários de jogos, bem como com a dificuldade de conciliar os estudos ou o emprego com as respetivas carreiras desportivas;</w:t>
      </w:r>
    </w:p>
    <w:p w14:paraId="653DF76F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M.</w:t>
      </w:r>
      <w:r w:rsidRPr="00336899">
        <w:rPr>
          <w:lang w:val="pt-PT"/>
        </w:rPr>
        <w:tab/>
        <w:t>Considerando que os recentes acórdãos do TJUE representam uma oportunidade para a política da UE reforçar ainda mais o modelo europeu do desporto;</w:t>
      </w:r>
    </w:p>
    <w:p w14:paraId="154A4E78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N.</w:t>
      </w:r>
      <w:r w:rsidRPr="00336899">
        <w:rPr>
          <w:lang w:val="pt-PT"/>
        </w:rPr>
        <w:tab/>
        <w:t>Considerando que o desporto enfrenta inúmeros desafios, incluindo problemas de governação, corrupção, viciação de resultados, dopagem, pirataria em linha e discriminação;</w:t>
      </w:r>
    </w:p>
    <w:p w14:paraId="5EB10FB5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O.</w:t>
      </w:r>
      <w:r w:rsidRPr="00336899">
        <w:rPr>
          <w:lang w:val="pt-PT"/>
        </w:rPr>
        <w:tab/>
        <w:t>Considerando que as receitas perdidas pelos organizadores de eventos desportivos devido à pirataria em linha de conteúdos desportivos em direto podem ser reinvestidas no ecossistema desportivo da UE;</w:t>
      </w:r>
    </w:p>
    <w:p w14:paraId="49B482D9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P.</w:t>
      </w:r>
      <w:r w:rsidRPr="00336899">
        <w:rPr>
          <w:lang w:val="pt-PT"/>
        </w:rPr>
        <w:tab/>
        <w:t xml:space="preserve">Considerando que existem tendências novas e em evolução em matéria de propriedade, como as decorrentes do investimento estrangeiro e da </w:t>
      </w:r>
      <w:proofErr w:type="spellStart"/>
      <w:r w:rsidRPr="00336899">
        <w:rPr>
          <w:lang w:val="pt-PT"/>
        </w:rPr>
        <w:t>multipropriedade</w:t>
      </w:r>
      <w:proofErr w:type="spellEnd"/>
      <w:r w:rsidRPr="00336899">
        <w:rPr>
          <w:lang w:val="pt-PT"/>
        </w:rPr>
        <w:t xml:space="preserve"> no desporto;</w:t>
      </w:r>
    </w:p>
    <w:p w14:paraId="2D0C8E7B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Q.</w:t>
      </w:r>
      <w:r w:rsidRPr="00336899">
        <w:rPr>
          <w:lang w:val="pt-PT"/>
        </w:rPr>
        <w:tab/>
        <w:t>Considerando que as ameaças decorrentes da excessiva comercialização, dos modelos de propriedade e das competições puramente centradas no lucro e no entretenimento põem em perigo o equilíbrio competitivo e a integridade do desporto profissional;</w:t>
      </w:r>
    </w:p>
    <w:p w14:paraId="55C2E1BE" w14:textId="77777777" w:rsidR="00282775" w:rsidRPr="00336899" w:rsidRDefault="00282775" w:rsidP="007B32BB">
      <w:pPr>
        <w:pStyle w:val="Normal12a24b"/>
        <w:widowControl/>
        <w:spacing w:before="0"/>
        <w:ind w:left="567" w:hanging="567"/>
        <w:rPr>
          <w:lang w:val="pt-PT"/>
        </w:rPr>
      </w:pPr>
      <w:r w:rsidRPr="00336899">
        <w:rPr>
          <w:rStyle w:val="BoldItalic"/>
          <w:lang w:val="pt-PT"/>
        </w:rPr>
        <w:t>Modelo europeu do desporto: ao serviço da sociedade e da promoção da inclusão</w:t>
      </w:r>
    </w:p>
    <w:p w14:paraId="305B26CB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1.</w:t>
      </w:r>
      <w:r w:rsidRPr="00336899">
        <w:rPr>
          <w:lang w:val="pt-PT"/>
        </w:rPr>
        <w:tab/>
        <w:t>Reitera o seu compromisso inabalável para com a defesa do modelo europeu do desporto, no qual o desporto e a atividade física servem objetivos sociais e contribuem positivamente para uma série de domínios de intervenção fundamentais da UE;</w:t>
      </w:r>
    </w:p>
    <w:p w14:paraId="33EBFB62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2.</w:t>
      </w:r>
      <w:r w:rsidRPr="00336899">
        <w:rPr>
          <w:lang w:val="pt-PT"/>
        </w:rPr>
        <w:tab/>
        <w:t>Reconhece a necessidade de proteger o modelo europeu do desporto, assegurando o desenvolvimento sustentável contínuo do desporto e da atividade física, desde a base até ao nível profissional e à escala local, regional, nacional e europeia;</w:t>
      </w:r>
    </w:p>
    <w:p w14:paraId="7F17BCEF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3.</w:t>
      </w:r>
      <w:r w:rsidRPr="00336899">
        <w:rPr>
          <w:lang w:val="pt-PT"/>
        </w:rPr>
        <w:tab/>
        <w:t>Salienta a necessidade de continuar a desenvolver o modelo europeu do desporto, em consonância com os interesses dos cidadãos, os valores da UE e as prioridades políticas, como a igualdade, a diversidade, a inclusão, a sustentabilidade, a saúde e o bem-estar, o modelo social europeu e a competitividade da UE;</w:t>
      </w:r>
    </w:p>
    <w:p w14:paraId="4CB810F6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lastRenderedPageBreak/>
        <w:t>4.</w:t>
      </w:r>
      <w:r w:rsidRPr="00336899">
        <w:rPr>
          <w:lang w:val="pt-PT"/>
        </w:rPr>
        <w:tab/>
        <w:t>Insta todas as partes interessadas a redobrarem esforços no sentido de promover um desporto seguro, inclusivo e equitativo, acessível a todos, com destaque para a promoção da igualdade de género, o combate a todas as formas de violência, à discriminação e ao assédio, e a melhoria da acessibilidade das infraestruturas desportivas;</w:t>
      </w:r>
    </w:p>
    <w:p w14:paraId="4C6F9C30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5.</w:t>
      </w:r>
      <w:r w:rsidRPr="00336899">
        <w:rPr>
          <w:lang w:val="pt-PT"/>
        </w:rPr>
        <w:tab/>
        <w:t>Salienta, a este respeito, a necessidade de assegurar a inclusão das pessoas com deficiência em todos os contextos desportivos, incluindo a sua participação nos processos de governação e de tomada de decisões;</w:t>
      </w:r>
    </w:p>
    <w:p w14:paraId="70C7A9B6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6.</w:t>
      </w:r>
      <w:r w:rsidRPr="00336899">
        <w:rPr>
          <w:lang w:val="pt-PT"/>
        </w:rPr>
        <w:tab/>
        <w:t>Realça que o modelo desportivo europeu tem de assentar no princípio do desporto como bem público, assegurando que o investimento público no desporto traga benefícios para a sociedade sob a forma de inclusão, saúde, educação e coesão social;</w:t>
      </w:r>
    </w:p>
    <w:p w14:paraId="36C6A7E0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7.</w:t>
      </w:r>
      <w:r w:rsidRPr="00336899">
        <w:rPr>
          <w:lang w:val="pt-PT"/>
        </w:rPr>
        <w:tab/>
        <w:t>Sublinha o papel vital da atividade física para todos, independentemente da idade, salientando os seus benefícios imediatos e a longo prazo para a saúde física e mental, bem como o seu contributo para o desenvolvimento e a manutenção das competências sociais e necessárias à vida quotidiana das pessoas;</w:t>
      </w:r>
    </w:p>
    <w:p w14:paraId="7E23007B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8.</w:t>
      </w:r>
      <w:r w:rsidRPr="00336899">
        <w:rPr>
          <w:lang w:val="pt-PT"/>
        </w:rPr>
        <w:tab/>
        <w:t>Frisa a importância de promover a atividade física entre as crianças e os jovens, nomeadamente graças à participação de atletas e de para-atletas enquanto modelos a seguir, e apela a um maior investimento nas infraestruturas desportivas escolares necessárias, na educação física de qualidade e em programas de desporto extracurricular;</w:t>
      </w:r>
    </w:p>
    <w:p w14:paraId="1FD67329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9.</w:t>
      </w:r>
      <w:r w:rsidRPr="00336899">
        <w:rPr>
          <w:lang w:val="pt-PT"/>
        </w:rPr>
        <w:tab/>
        <w:t>Destaca o papel preventivo do desporto no combate ao isolamento social, à violência e à radicalização dos jovens e salienta a necessidade de os proteger de todas as formas de abuso no desporto;</w:t>
      </w:r>
    </w:p>
    <w:p w14:paraId="010CA4C5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10.</w:t>
      </w:r>
      <w:r w:rsidRPr="00336899">
        <w:rPr>
          <w:lang w:val="pt-PT"/>
        </w:rPr>
        <w:tab/>
        <w:t>Sublinha o papel crucial dos voluntários no desporto, e insta a Comissão a elaborar recomendações em conjunto com os Estados-Membros para apoiar e incentivar o voluntariado no desporto, nomeadamente orientações para atrair, reconhecer e reter voluntários no desporto, tanto no que diz respeito ao desporto de base como ao desporto profissional;</w:t>
      </w:r>
    </w:p>
    <w:p w14:paraId="5D19C7DF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11.</w:t>
      </w:r>
      <w:r w:rsidRPr="00336899">
        <w:rPr>
          <w:lang w:val="pt-PT"/>
        </w:rPr>
        <w:tab/>
        <w:t>Reconhece que o desporto de base na Europa se caracteriza por um forte envolvimento da sociedade civil nos clubes e associações locais, que vivem do voluntariado;</w:t>
      </w:r>
    </w:p>
    <w:p w14:paraId="41159998" w14:textId="77777777" w:rsidR="00282775" w:rsidRPr="00336899" w:rsidRDefault="00282775" w:rsidP="007B32BB">
      <w:pPr>
        <w:pStyle w:val="Normal12a24b"/>
        <w:widowControl/>
        <w:spacing w:before="0"/>
        <w:ind w:left="567" w:hanging="567"/>
        <w:rPr>
          <w:lang w:val="pt-PT"/>
        </w:rPr>
      </w:pPr>
      <w:r w:rsidRPr="00336899">
        <w:rPr>
          <w:rStyle w:val="BoldItalic"/>
          <w:lang w:val="pt-PT"/>
        </w:rPr>
        <w:t xml:space="preserve">Modelo europeu do desporto: ao serviço dos valores e da solidariedade da UE </w:t>
      </w:r>
    </w:p>
    <w:p w14:paraId="74B22A84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12.</w:t>
      </w:r>
      <w:r w:rsidRPr="00336899">
        <w:rPr>
          <w:lang w:val="pt-PT"/>
        </w:rPr>
        <w:tab/>
        <w:t>Salienta a importância fundamental do princípio da solidariedade para garantir que o desporto sirva e promova os interesses de todos, e não os lucros de alguns, e reitera a necessidade de reforçar a ligação entre o desporto profissional e o desporto recreativo através de mecanismos de solidariedade financeira mais eficazes, a fim de otimizar o seu desenvolvimento;</w:t>
      </w:r>
    </w:p>
    <w:p w14:paraId="72160309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13.</w:t>
      </w:r>
      <w:r w:rsidRPr="00336899">
        <w:rPr>
          <w:lang w:val="pt-PT"/>
        </w:rPr>
        <w:tab/>
        <w:t>Insta a Comissão a incentivar os órgãos de gestão do desporto a aplicarem mecanismos e políticas em matéria de desenvolvimento dos jovens, destinados a recompensar os clubes pela formação de jogadores que contribuem para o êxito contínuo das competições profissionais, assegurando assim a competitividade a longo prazo do setor do desporto;</w:t>
      </w:r>
    </w:p>
    <w:p w14:paraId="517F5E7D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lastRenderedPageBreak/>
        <w:t>14.</w:t>
      </w:r>
      <w:r w:rsidRPr="00336899">
        <w:rPr>
          <w:lang w:val="pt-PT"/>
        </w:rPr>
        <w:tab/>
        <w:t>Insta a Comissão a apresentar um estudo de levantamento dos mecanismos de solidariedade financeira e dos regimes de redistribuição existentes que abranjam diferentes desportos e níveis na UE, acompanhado de recomendações para o seu desenvolvimento futuro;</w:t>
      </w:r>
    </w:p>
    <w:p w14:paraId="1E58C2BF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15.</w:t>
      </w:r>
      <w:r w:rsidRPr="00336899">
        <w:rPr>
          <w:lang w:val="pt-PT"/>
        </w:rPr>
        <w:tab/>
        <w:t>Insta, neste contexto, a Comissão a apoiar a segurança jurídica dos órgãos de gestão do desporto e a explorar a necessidade de mecanismos de redistribuição entre grandes e pequenas ligas, clubes ou competições e em diferentes disciplinas, nomeadamente no desporto juvenil;</w:t>
      </w:r>
    </w:p>
    <w:p w14:paraId="4E33CAFD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16.</w:t>
      </w:r>
      <w:r w:rsidRPr="00336899">
        <w:rPr>
          <w:lang w:val="pt-PT"/>
        </w:rPr>
        <w:tab/>
        <w:t>Realça a necessidade de aumentar de forma significativa o financiamento do desporto e a atividade física, especialmente no âmbito do programa Erasmus+ para 2028-2034, em conformidade com as prioridades horizontais existentes, e de apoiar novas sinergias entre outros programas e fundos;</w:t>
      </w:r>
    </w:p>
    <w:p w14:paraId="33FF2F31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17.</w:t>
      </w:r>
      <w:r w:rsidRPr="00336899">
        <w:rPr>
          <w:lang w:val="pt-PT"/>
        </w:rPr>
        <w:tab/>
        <w:t>Reconhece o potencial papel de referência do programa Erasmus+ no apoio financeiro às organizações desportivas de base e o impacto positivo do programa nos cidadãos e na sociedade;</w:t>
      </w:r>
    </w:p>
    <w:p w14:paraId="5FC23820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18.</w:t>
      </w:r>
      <w:r w:rsidRPr="00336899">
        <w:rPr>
          <w:lang w:val="pt-PT"/>
        </w:rPr>
        <w:tab/>
        <w:t>Solicita à Comissão que crie programas de financiamento acessíveis e substanciais para as organizações e clubes desportivos, com mecanismos claros e acessíveis para garantir que os fundos que lhes são destinados cheguem ao nível local;</w:t>
      </w:r>
    </w:p>
    <w:p w14:paraId="38F00ED9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19.</w:t>
      </w:r>
      <w:r w:rsidRPr="00336899">
        <w:rPr>
          <w:lang w:val="pt-PT"/>
        </w:rPr>
        <w:tab/>
        <w:t>Insta a Comissão e os Estados-Membros a apoiarem o investimento em infraestruturas desportivas seguras e acessíveis a todos os níveis, através de fundos da UE, como o Fundo Europeu de Desenvolvimento Regional, com especial destaque para os bairros urbanos rurais e desfavorecidos;</w:t>
      </w:r>
    </w:p>
    <w:p w14:paraId="6C7671E5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20.</w:t>
      </w:r>
      <w:r w:rsidRPr="00336899">
        <w:rPr>
          <w:lang w:val="pt-PT"/>
        </w:rPr>
        <w:tab/>
        <w:t>Considera que a regulamentação em matéria de sustentabilidade financeira no desporto é essencial para garantir a viabilidade e a integridade a longo prazo do desporto profissional na UE; incentiva a Comissão e os Estados-Membros a promoverem normas coerentes de governação financeira em todos os desportos profissionais, e frisa a necessidade de aplicar e atualizar eficazmente estas medidas, nomeadamente através de uma supervisão adequada dos salários dos atletas;</w:t>
      </w:r>
    </w:p>
    <w:p w14:paraId="16FC60F2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21.</w:t>
      </w:r>
      <w:r w:rsidRPr="00336899">
        <w:rPr>
          <w:lang w:val="pt-PT"/>
        </w:rPr>
        <w:tab/>
        <w:t>Insta os Estados-Membros a continuarem a insistir em que a atribuição dos direitos de realização de grandes eventos desportivos se baseie no mérito, que os anfitriões, organizadores e patrocinadores de grandes eventos desportivos respeitem os valores do modelo europeu do desporto, nomeadamente os direitos humanos, os valores democráticos e a sustentabilidade;</w:t>
      </w:r>
    </w:p>
    <w:p w14:paraId="6B1FD60A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22.</w:t>
      </w:r>
      <w:r w:rsidRPr="00336899">
        <w:rPr>
          <w:lang w:val="pt-PT"/>
        </w:rPr>
        <w:tab/>
        <w:t>Insta a Comissão e os Estados-Membros a incentivarem a responsabilidade ambiental e a adaptação às alterações climáticas no desporto, nomeadamente a gestão sustentável dos equipamentos e das infraestruturas desportivas, a organização de eventos responsáveis em matéria de emissões de carbono e a educação ambiental através do desporto;</w:t>
      </w:r>
    </w:p>
    <w:p w14:paraId="3F632B54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23.</w:t>
      </w:r>
      <w:r w:rsidRPr="00336899">
        <w:rPr>
          <w:lang w:val="pt-PT"/>
        </w:rPr>
        <w:tab/>
        <w:t>Reconhece a tendência crescente do investimento e da propriedade estrangeiros no desporto europeu e insta a Comissão a ter em conta o impacto desta tendência quando apoia esforços para salvaguardar a integridade financeira e o equilíbrio competitivo do desporto europeu;</w:t>
      </w:r>
    </w:p>
    <w:p w14:paraId="5A820C5B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lastRenderedPageBreak/>
        <w:t>24.</w:t>
      </w:r>
      <w:r w:rsidRPr="00336899">
        <w:rPr>
          <w:lang w:val="pt-PT"/>
        </w:rPr>
        <w:tab/>
        <w:t>Reconhece os riscos da criminalidade organizada e financeira no desporto e considera que importa garantir um rigoroso dever de diligência no que toca a investimentos e propriedade no desporto europeu, nomeadamente através do alargamento do quadro da UE em matéria de luta contra o branqueamento de capitais de modo que abranja o desporto profissional;</w:t>
      </w:r>
    </w:p>
    <w:p w14:paraId="4A20ECE7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25.</w:t>
      </w:r>
      <w:r w:rsidRPr="00336899">
        <w:rPr>
          <w:lang w:val="pt-PT"/>
        </w:rPr>
        <w:tab/>
        <w:t xml:space="preserve">Condena todas as formas de viciação de resultados, que comprometem a integridade e o </w:t>
      </w:r>
      <w:r w:rsidRPr="00336899">
        <w:rPr>
          <w:rStyle w:val="Italic"/>
          <w:lang w:val="pt-PT"/>
        </w:rPr>
        <w:t>fair play</w:t>
      </w:r>
      <w:r w:rsidRPr="00336899">
        <w:rPr>
          <w:lang w:val="pt-PT"/>
        </w:rPr>
        <w:t>, e insta os Estados-Membros e os organismos desportivos a reforçarem as medidas preventivas através do reforço do acompanhamento, de campanhas educativas e da cooperação com as autoridades responsáveis pela aplicação da lei;</w:t>
      </w:r>
    </w:p>
    <w:p w14:paraId="6C2D3EB2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26.</w:t>
      </w:r>
      <w:r w:rsidRPr="00336899">
        <w:rPr>
          <w:lang w:val="pt-PT"/>
        </w:rPr>
        <w:tab/>
        <w:t>Exorta o Conselho a desbloquear o processo de assinatura e ratificação da Convenção do Conselho da Europa sobre a Manipulação de Competições Desportivas;</w:t>
      </w:r>
    </w:p>
    <w:p w14:paraId="1ECB1845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27.</w:t>
      </w:r>
      <w:r w:rsidRPr="00336899">
        <w:rPr>
          <w:lang w:val="pt-PT"/>
        </w:rPr>
        <w:tab/>
        <w:t>Realça a necessidade de abordar, a nível da UE, o problema crescente da dopagem em todos os níveis do desporto, através de campanhas educativas e de sensibilização;</w:t>
      </w:r>
    </w:p>
    <w:p w14:paraId="706ECE3A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28.</w:t>
      </w:r>
      <w:r w:rsidRPr="00336899">
        <w:rPr>
          <w:lang w:val="pt-PT"/>
        </w:rPr>
        <w:tab/>
        <w:t>Incentiva a Comissão e os Estados-Membros a intensificarem as ações contra a pirataria em linha e insta a Comissão a apresentar uma proposta de legislação específica para resolver a questão da pirataria em linha de conteúdos desportivos e outros conteúdos em direto, nomeadamente através do reforço dos mecanismos de aplicação digital, da aplicação das obrigações «</w:t>
      </w:r>
      <w:proofErr w:type="spellStart"/>
      <w:r w:rsidRPr="00336899">
        <w:rPr>
          <w:lang w:val="pt-PT"/>
        </w:rPr>
        <w:t>Know</w:t>
      </w:r>
      <w:proofErr w:type="spellEnd"/>
      <w:r w:rsidRPr="00336899">
        <w:rPr>
          <w:lang w:val="pt-PT"/>
        </w:rPr>
        <w:t xml:space="preserve"> </w:t>
      </w:r>
      <w:proofErr w:type="spellStart"/>
      <w:r w:rsidRPr="00336899">
        <w:rPr>
          <w:lang w:val="pt-PT"/>
        </w:rPr>
        <w:t>Your</w:t>
      </w:r>
      <w:proofErr w:type="spellEnd"/>
      <w:r w:rsidRPr="00336899">
        <w:rPr>
          <w:lang w:val="pt-PT"/>
        </w:rPr>
        <w:t xml:space="preserve"> Business </w:t>
      </w:r>
      <w:proofErr w:type="spellStart"/>
      <w:r w:rsidRPr="00336899">
        <w:rPr>
          <w:lang w:val="pt-PT"/>
        </w:rPr>
        <w:t>Customer</w:t>
      </w:r>
      <w:proofErr w:type="spellEnd"/>
      <w:r w:rsidRPr="00336899">
        <w:rPr>
          <w:lang w:val="pt-PT"/>
        </w:rPr>
        <w:t>» (conhecer o cliente empresarial), da promoção da cooperação com as plataformas em linha e da sensibilização dos consumidores;</w:t>
      </w:r>
    </w:p>
    <w:p w14:paraId="65EA8BFE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29.</w:t>
      </w:r>
      <w:r w:rsidRPr="00336899">
        <w:rPr>
          <w:lang w:val="pt-PT"/>
        </w:rPr>
        <w:tab/>
        <w:t>Destaca o recurso crescente aos preços dinâmicos dos bilhetes, que pode impedir a acessibilidade a eventos desportivos na Europa, e apela a um acompanhamento rigoroso do cumprimento da legislação da UE por parte dos participantes no mercado;</w:t>
      </w:r>
    </w:p>
    <w:p w14:paraId="7209721A" w14:textId="77777777" w:rsidR="00282775" w:rsidRPr="00336899" w:rsidRDefault="00282775" w:rsidP="007B32BB">
      <w:pPr>
        <w:pStyle w:val="Normal12a24b"/>
        <w:widowControl/>
        <w:spacing w:before="0"/>
        <w:rPr>
          <w:lang w:val="pt-PT"/>
        </w:rPr>
      </w:pPr>
      <w:r w:rsidRPr="00336899">
        <w:rPr>
          <w:rStyle w:val="BoldItalic"/>
          <w:lang w:val="pt-PT"/>
        </w:rPr>
        <w:t xml:space="preserve">Modelo europeu do desporto: ao serviço da promoção da governação coletiva, dos direitos dos atletas e da expressão dos adeptos </w:t>
      </w:r>
    </w:p>
    <w:p w14:paraId="6F6B3FAF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30.</w:t>
      </w:r>
      <w:r w:rsidRPr="00336899">
        <w:rPr>
          <w:lang w:val="pt-PT"/>
        </w:rPr>
        <w:tab/>
        <w:t>Reconhece que a autonomia do desporto depende da boa governação e convida as organizações desportivas internacionais, europeias e nacionais, bem como as organizações representativas das partes interessadas, a aplicarem as mais elevadas normas de governação, integridade e transparência, prevendo um sistema adequado de pesos e contrapesos para garantir a responsabilização;</w:t>
      </w:r>
    </w:p>
    <w:p w14:paraId="007720AD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31.</w:t>
      </w:r>
      <w:r w:rsidRPr="00336899">
        <w:rPr>
          <w:lang w:val="pt-PT"/>
        </w:rPr>
        <w:tab/>
        <w:t>Convida a Comissão a rever a eficácia e a coerência das atuais medidas da UE nestes domínios e a conceber ações específicas e respostas políticas para fazer face aos desafios persistentes;</w:t>
      </w:r>
    </w:p>
    <w:p w14:paraId="752D4950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32.</w:t>
      </w:r>
      <w:r w:rsidRPr="00336899">
        <w:rPr>
          <w:lang w:val="pt-PT"/>
        </w:rPr>
        <w:tab/>
        <w:t>Apela a uma estratégia colaborativa entre as organizações desportivas e as autoridades públicas para que se façam cumprir estas normas e se possa garantir que o desporto continue a ser um espaço de confiança, seguro e ético para todos os participantes;</w:t>
      </w:r>
    </w:p>
    <w:p w14:paraId="6562724E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33.</w:t>
      </w:r>
      <w:r w:rsidRPr="00336899">
        <w:rPr>
          <w:lang w:val="pt-PT"/>
        </w:rPr>
        <w:tab/>
        <w:t>Salienta a importância de assegurar que todas as instituições, organismos de gestão do desporto e partes interessadas respeitem os princípios estabelecidos na jurisprudência do TJUE no domínio do desporto;</w:t>
      </w:r>
    </w:p>
    <w:p w14:paraId="0CC80377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34.</w:t>
      </w:r>
      <w:r w:rsidRPr="00336899">
        <w:rPr>
          <w:lang w:val="pt-PT"/>
        </w:rPr>
        <w:tab/>
        <w:t xml:space="preserve">Congratula-se com os esforços envidados pelos órgãos de gestão em matéria de governação coletiva e incentiva a adoção de novas medidas para reforçar a </w:t>
      </w:r>
      <w:r w:rsidRPr="00336899">
        <w:rPr>
          <w:lang w:val="pt-PT"/>
        </w:rPr>
        <w:lastRenderedPageBreak/>
        <w:t>representação das partes interessadas na tomada de decisões, assumindo um compromisso particular no sentido de assegurar a participação de atletas e adeptos;</w:t>
      </w:r>
    </w:p>
    <w:p w14:paraId="703999A2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35.</w:t>
      </w:r>
      <w:r w:rsidRPr="00336899">
        <w:rPr>
          <w:lang w:val="pt-PT"/>
        </w:rPr>
        <w:tab/>
        <w:t>Exorta os órgãos de gestão do desporto a aplicarem ainda mais medidas em matéria de igualdade, diversidade e inclusão, em particular para dar resposta ao número persistentemente reduzido de mulheres em posições de liderança;</w:t>
      </w:r>
    </w:p>
    <w:p w14:paraId="6CC7DEE6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36.</w:t>
      </w:r>
      <w:r w:rsidRPr="00336899">
        <w:rPr>
          <w:lang w:val="pt-PT"/>
        </w:rPr>
        <w:tab/>
        <w:t>Destaca a necessidade de normas e controlos de representatividade como condição prévia para que as organizações de partes interessadas participem em processos de governação;</w:t>
      </w:r>
    </w:p>
    <w:p w14:paraId="4ABF11EB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37.</w:t>
      </w:r>
      <w:r w:rsidRPr="00336899">
        <w:rPr>
          <w:lang w:val="pt-PT"/>
        </w:rPr>
        <w:tab/>
        <w:t>Insta a Comissão a promover o diálogo social no desporto enquanto processo de decisão fundamental, coerente com os princípios da boa governação, e a melhorar a representatividade e a inclusão do desporto;</w:t>
      </w:r>
    </w:p>
    <w:p w14:paraId="1F1F41A9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38.</w:t>
      </w:r>
      <w:r w:rsidRPr="00336899">
        <w:rPr>
          <w:lang w:val="pt-PT"/>
        </w:rPr>
        <w:tab/>
        <w:t>Propõe que a Comissão consulte as partes interessadas pertinentes sobre a criação de um Comité de Diálogo Social Setorial da UE para o Desporto Profissional;</w:t>
      </w:r>
    </w:p>
    <w:p w14:paraId="0D26A958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39.</w:t>
      </w:r>
      <w:r w:rsidRPr="00336899">
        <w:rPr>
          <w:lang w:val="pt-PT"/>
        </w:rPr>
        <w:tab/>
        <w:t>Exorta as instituições da UE a protegerem e promoverem, e os Estados-Membros a aplicarem, os direitos fundamentais dos atletas, e de outros trabalhadores no setor desportivo, incluindo os direitos sociais, como a proteção da liberdade de associação, da negociação coletiva, da não discriminação, das condições de trabalho dignas, das medidas de segurança e de saúde no trabalho, designadamente no que diz respeito à licença de parto e de maternidade;</w:t>
      </w:r>
    </w:p>
    <w:p w14:paraId="1F3B4A3F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40.</w:t>
      </w:r>
      <w:r w:rsidRPr="00336899">
        <w:rPr>
          <w:lang w:val="pt-PT"/>
        </w:rPr>
        <w:tab/>
        <w:t>Frisa a necessidade de uma gestão proativa dos riscos no desenvolvimento e supervisão das políticas de saúde e segurança no trabalho, incluindo fatores como viagens, calendários de jogos e competições sobrepostos;</w:t>
      </w:r>
    </w:p>
    <w:p w14:paraId="409C0BFB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41.</w:t>
      </w:r>
      <w:r w:rsidRPr="00336899">
        <w:rPr>
          <w:lang w:val="pt-PT"/>
        </w:rPr>
        <w:tab/>
        <w:t>Insta as instituições da UE e os Estados-Membros a continuarem a apoiar iniciativas relacionadas com as carreiras duplas dos atletas, a aprendizagem ao longo da vida, os períodos após se retirarem do desporto, o desenvolvimento pessoal e a saúde mental dos atletas, em parceria com organizações pertinentes, como as associações e comissões de atletas;</w:t>
      </w:r>
    </w:p>
    <w:p w14:paraId="3D8485C2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42.</w:t>
      </w:r>
      <w:r w:rsidRPr="00336899">
        <w:rPr>
          <w:lang w:val="pt-PT"/>
        </w:rPr>
        <w:tab/>
        <w:t>Salienta que os calendários desportivos se tornaram mais intensos devido ao aumento dos jogos e competições europeus e internacionais e apela à participação de todas as partes interessadas nos processos de tomada de decisão do calendário, a fim de evitar sobreposições;</w:t>
      </w:r>
    </w:p>
    <w:p w14:paraId="200C3AB2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43.</w:t>
      </w:r>
      <w:r w:rsidRPr="00336899">
        <w:rPr>
          <w:lang w:val="pt-PT"/>
        </w:rPr>
        <w:tab/>
        <w:t>Apoia o direito de os atletas representarem livremente os seus países e salienta que os clubes devem ser obrigados a ceder os atletas para a participação nas equipas nacionais;</w:t>
      </w:r>
    </w:p>
    <w:p w14:paraId="103482A1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44.</w:t>
      </w:r>
      <w:r w:rsidRPr="00336899">
        <w:rPr>
          <w:lang w:val="pt-PT"/>
        </w:rPr>
        <w:tab/>
        <w:t>Solicita aos organismos de gestão do desporto que impeçam a realização de jogos de competições nacionais no estrangeiro;</w:t>
      </w:r>
    </w:p>
    <w:p w14:paraId="4984044C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45.</w:t>
      </w:r>
      <w:r w:rsidRPr="00336899">
        <w:rPr>
          <w:lang w:val="pt-PT"/>
        </w:rPr>
        <w:tab/>
        <w:t>Reconhece a importância dos organismos internacionais para garantir um sistema de transferência transparente e justo, em conformidade com o direito da União e as especificidades europeias, e apela a uma forte ênfase na salvaguarda dos direitos dos atletas em todos os desportos, prestando especial atenção aos menores;</w:t>
      </w:r>
    </w:p>
    <w:p w14:paraId="68A5BF15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lastRenderedPageBreak/>
        <w:t>46.</w:t>
      </w:r>
      <w:r w:rsidRPr="00336899">
        <w:rPr>
          <w:lang w:val="pt-PT"/>
        </w:rPr>
        <w:tab/>
        <w:t>Chama a atenção para o papel proeminente dos agentes ou intermediários desportivos e para a relação desequilibrada que pode existir entre estes e os jovens atletas, e destaca a necessidade de uma estratégia baseada em regras;</w:t>
      </w:r>
    </w:p>
    <w:p w14:paraId="39A082EA" w14:textId="77777777" w:rsidR="00282775" w:rsidRPr="00336899" w:rsidRDefault="00282775" w:rsidP="007B32BB">
      <w:pPr>
        <w:pStyle w:val="Normal12a24b"/>
        <w:widowControl/>
        <w:spacing w:before="0"/>
        <w:rPr>
          <w:lang w:val="pt-PT"/>
        </w:rPr>
      </w:pPr>
      <w:r w:rsidRPr="00336899">
        <w:rPr>
          <w:rStyle w:val="BoldItalic"/>
          <w:lang w:val="pt-PT"/>
        </w:rPr>
        <w:t xml:space="preserve">Modelo europeu do desporto: como a política da UE pode contribuir para reforçar e proteger </w:t>
      </w:r>
    </w:p>
    <w:p w14:paraId="5DCB0F44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47.</w:t>
      </w:r>
      <w:r w:rsidRPr="00336899">
        <w:rPr>
          <w:lang w:val="pt-PT"/>
        </w:rPr>
        <w:tab/>
        <w:t>Convida a Comissão a apresentar uma estratégia a longo prazo para a política desportiva e relativa à atividade física, em resposta ao forte impulso político dos Estados-Membros e das instituições da UE, centrando-se nas principais características do modelo europeu do desporto, e a propor ações concretas a este respeito;</w:t>
      </w:r>
    </w:p>
    <w:p w14:paraId="52158FC0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48.</w:t>
      </w:r>
      <w:r w:rsidRPr="00336899">
        <w:rPr>
          <w:lang w:val="pt-PT"/>
        </w:rPr>
        <w:tab/>
        <w:t>Congratula-se com o diálogo existente sobre a política desportiva e solicita à Comissão que assegure a participação ativa nos debates a nível da UE, nacional e de base, envolvendo todas as partes interessadas na definição de estratégias a longo prazo;</w:t>
      </w:r>
    </w:p>
    <w:p w14:paraId="20388FBE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49.</w:t>
      </w:r>
      <w:r w:rsidRPr="00336899">
        <w:rPr>
          <w:lang w:val="pt-PT"/>
        </w:rPr>
        <w:tab/>
        <w:t>Insta a Comissão e os Estados-Membros a apoiarem a recolha de dados e a elaboração de políticas baseadas em dados concretos, a fim de reforçar o papel do desporto como contributo para os objetivos políticos da UE;</w:t>
      </w:r>
    </w:p>
    <w:p w14:paraId="34EF4171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50.</w:t>
      </w:r>
      <w:r w:rsidRPr="00336899">
        <w:rPr>
          <w:lang w:val="pt-PT"/>
        </w:rPr>
        <w:tab/>
        <w:t>Insta a Comissão a desempenhar o seu papel de guardiã dos Tratados num dos setores sociais e económicos mais importantes da União, acompanhando e contrariando ativamente as ameaças, a todos os níveis, ao modelo europeu do desporto baseado em valores, nomeadamente as competições dissidentes que põem em perigo o ecossistema desportivo global;</w:t>
      </w:r>
    </w:p>
    <w:p w14:paraId="59AE6896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51.</w:t>
      </w:r>
      <w:r w:rsidRPr="00336899">
        <w:rPr>
          <w:lang w:val="pt-PT"/>
        </w:rPr>
        <w:tab/>
        <w:t>Incentiva a Comissão a utilizar todos os instrumentos adequados à sua disposição para proteger o setor desportivo europeu de todas as iniciativas que visem prejudicá-lo e transferir o valor que cria para fora da Europa;</w:t>
      </w:r>
    </w:p>
    <w:p w14:paraId="12EF28D9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52.</w:t>
      </w:r>
      <w:r w:rsidRPr="00336899">
        <w:rPr>
          <w:lang w:val="pt-PT"/>
        </w:rPr>
        <w:tab/>
        <w:t>Reafirma a natureza específica do desporto, respeitando simultaneamente o direito da UE, e reconhece que não existe uma forma única de aplicar o modelo europeu do desporto a diferentes desportos;</w:t>
      </w:r>
    </w:p>
    <w:p w14:paraId="7BFEC4F3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53.</w:t>
      </w:r>
      <w:r w:rsidRPr="00336899">
        <w:rPr>
          <w:lang w:val="pt-PT"/>
        </w:rPr>
        <w:tab/>
        <w:t>Salienta, a este respeito, a necessidade de proteger a natureza vertical do modelo europeu do desporto, em que a promoção e a descida de categoria têm lugar a nível nacional e o desempenho anual em ligas nacionais é o único critério de qualificação para competições europeias;</w:t>
      </w:r>
    </w:p>
    <w:p w14:paraId="77D6A05A" w14:textId="77777777" w:rsidR="00282775" w:rsidRPr="00336899" w:rsidRDefault="00282775" w:rsidP="007B32BB">
      <w:pPr>
        <w:pStyle w:val="NormalHanging12a"/>
        <w:rPr>
          <w:lang w:val="pt-PT"/>
        </w:rPr>
      </w:pPr>
      <w:r w:rsidRPr="00336899">
        <w:rPr>
          <w:lang w:val="pt-PT"/>
        </w:rPr>
        <w:t>54.</w:t>
      </w:r>
      <w:r w:rsidRPr="00336899">
        <w:rPr>
          <w:lang w:val="pt-PT"/>
        </w:rPr>
        <w:tab/>
        <w:t>Exorta a Comissão a fornecer orientações claras sobre a aplicação do direito da UE, incluindo o direito da concorrência, ao setor desportivo, também à luz dos recentes acórdãos do TJUE;</w:t>
      </w:r>
    </w:p>
    <w:p w14:paraId="1368871D" w14:textId="77777777" w:rsidR="004C211B" w:rsidRPr="00336899" w:rsidRDefault="004C211B" w:rsidP="004C211B">
      <w:pPr>
        <w:pStyle w:val="NormalHanging12a"/>
        <w:ind w:left="0" w:firstLine="0"/>
        <w:jc w:val="center"/>
        <w:rPr>
          <w:lang w:val="pt-PT"/>
        </w:rPr>
      </w:pPr>
      <w:r w:rsidRPr="00336899">
        <w:rPr>
          <w:lang w:val="pt-PT"/>
        </w:rPr>
        <w:t>°</w:t>
      </w:r>
    </w:p>
    <w:p w14:paraId="7121404A" w14:textId="77777777" w:rsidR="004C211B" w:rsidRPr="00336899" w:rsidRDefault="004C211B" w:rsidP="004C211B">
      <w:pPr>
        <w:pStyle w:val="NormalHanging12a"/>
        <w:ind w:left="0" w:firstLine="0"/>
        <w:jc w:val="center"/>
        <w:rPr>
          <w:lang w:val="pt-PT"/>
        </w:rPr>
      </w:pPr>
      <w:r w:rsidRPr="00336899">
        <w:rPr>
          <w:lang w:val="pt-PT"/>
        </w:rPr>
        <w:t>°     °</w:t>
      </w:r>
    </w:p>
    <w:p w14:paraId="796586D7" w14:textId="66E16E33" w:rsidR="00E365E1" w:rsidRPr="00336899" w:rsidRDefault="00282775" w:rsidP="004C211B">
      <w:pPr>
        <w:pStyle w:val="NormalHanging12a"/>
        <w:ind w:left="0" w:firstLine="0"/>
        <w:jc w:val="both"/>
        <w:rPr>
          <w:lang w:val="pt-PT"/>
        </w:rPr>
      </w:pPr>
      <w:r w:rsidRPr="00336899">
        <w:rPr>
          <w:lang w:val="pt-PT"/>
        </w:rPr>
        <w:t>5</w:t>
      </w:r>
      <w:r w:rsidR="004C211B" w:rsidRPr="00336899">
        <w:rPr>
          <w:lang w:val="pt-PT"/>
        </w:rPr>
        <w:t>5</w:t>
      </w:r>
      <w:r w:rsidRPr="00336899">
        <w:rPr>
          <w:lang w:val="pt-PT"/>
        </w:rPr>
        <w:t>.</w:t>
      </w:r>
      <w:r w:rsidRPr="00336899">
        <w:rPr>
          <w:lang w:val="pt-PT"/>
        </w:rPr>
        <w:tab/>
        <w:t>Encarrega a sua Presidente de transmitir a presente resolução ao Conselho e à Comissão.</w:t>
      </w:r>
    </w:p>
    <w:sectPr w:rsidR="00E365E1" w:rsidRPr="00336899" w:rsidSect="00E71DA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20FD8" w14:textId="77777777" w:rsidR="00204268" w:rsidRPr="00E71DA2" w:rsidRDefault="00204268">
      <w:r w:rsidRPr="00E71DA2">
        <w:separator/>
      </w:r>
    </w:p>
  </w:endnote>
  <w:endnote w:type="continuationSeparator" w:id="0">
    <w:p w14:paraId="5A29A73E" w14:textId="77777777" w:rsidR="00204268" w:rsidRPr="00E71DA2" w:rsidRDefault="00204268">
      <w:r w:rsidRPr="00E71DA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948F6" w14:textId="77777777" w:rsidR="00064002" w:rsidRPr="00E71DA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48281" w14:textId="77777777" w:rsidR="00064002" w:rsidRPr="00E71DA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6A29F" w14:textId="77777777" w:rsidR="00064002" w:rsidRPr="00E71DA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7FFB5" w14:textId="77777777" w:rsidR="00204268" w:rsidRPr="00E71DA2" w:rsidRDefault="00204268">
      <w:r w:rsidRPr="00E71DA2">
        <w:separator/>
      </w:r>
    </w:p>
  </w:footnote>
  <w:footnote w:type="continuationSeparator" w:id="0">
    <w:p w14:paraId="35B9BB45" w14:textId="77777777" w:rsidR="00204268" w:rsidRPr="00E71DA2" w:rsidRDefault="00204268">
      <w:r w:rsidRPr="00E71DA2">
        <w:continuationSeparator/>
      </w:r>
    </w:p>
  </w:footnote>
  <w:footnote w:id="1">
    <w:p w14:paraId="619843A1" w14:textId="71C50541" w:rsidR="00282775" w:rsidRPr="00181788" w:rsidRDefault="00282775" w:rsidP="00E71DA2">
      <w:pPr>
        <w:pStyle w:val="FootnoteText"/>
        <w:ind w:left="567" w:hanging="567"/>
        <w:rPr>
          <w:sz w:val="24"/>
          <w:szCs w:val="24"/>
          <w:lang w:val="pt-PT"/>
        </w:rPr>
      </w:pPr>
      <w:r w:rsidRPr="00181788">
        <w:rPr>
          <w:rStyle w:val="FootnoteReference"/>
          <w:sz w:val="24"/>
          <w:szCs w:val="24"/>
          <w:lang w:val="pt-PT"/>
        </w:rPr>
        <w:footnoteRef/>
      </w:r>
      <w:r w:rsidR="00E71DA2" w:rsidRPr="00181788">
        <w:rPr>
          <w:sz w:val="24"/>
          <w:szCs w:val="24"/>
          <w:lang w:val="pt-PT"/>
        </w:rPr>
        <w:t xml:space="preserve"> </w:t>
      </w:r>
      <w:r w:rsidR="00E71DA2" w:rsidRPr="00181788">
        <w:rPr>
          <w:sz w:val="24"/>
          <w:szCs w:val="24"/>
          <w:lang w:val="pt-PT"/>
        </w:rPr>
        <w:tab/>
      </w:r>
      <w:r w:rsidRPr="00181788">
        <w:rPr>
          <w:sz w:val="24"/>
          <w:szCs w:val="24"/>
          <w:lang w:val="pt-PT"/>
        </w:rPr>
        <w:t xml:space="preserve">JO L 189 de 28.5.2021, p. 1, ELI: </w:t>
      </w:r>
      <w:hyperlink r:id="rId1" w:history="1">
        <w:r w:rsidRPr="00181788">
          <w:rPr>
            <w:rStyle w:val="Hyperlink"/>
            <w:sz w:val="24"/>
            <w:szCs w:val="24"/>
            <w:lang w:val="pt-PT"/>
          </w:rPr>
          <w:t>http://data.europa.eu/eli/reg/2021/817/oj</w:t>
        </w:r>
      </w:hyperlink>
      <w:r w:rsidRPr="00181788">
        <w:rPr>
          <w:sz w:val="24"/>
          <w:szCs w:val="24"/>
          <w:lang w:val="pt-PT"/>
        </w:rPr>
        <w:t>.</w:t>
      </w:r>
    </w:p>
  </w:footnote>
  <w:footnote w:id="2">
    <w:p w14:paraId="29675DC4" w14:textId="0FCF9439" w:rsidR="00282775" w:rsidRPr="00181788" w:rsidRDefault="00282775" w:rsidP="00E71DA2">
      <w:pPr>
        <w:pStyle w:val="FootnoteText"/>
        <w:ind w:left="567" w:hanging="567"/>
        <w:rPr>
          <w:sz w:val="24"/>
          <w:szCs w:val="24"/>
          <w:lang w:val="pt-PT"/>
        </w:rPr>
      </w:pPr>
      <w:r w:rsidRPr="00181788">
        <w:rPr>
          <w:rStyle w:val="FootnoteReference"/>
          <w:sz w:val="24"/>
          <w:szCs w:val="24"/>
          <w:lang w:val="pt-PT"/>
        </w:rPr>
        <w:footnoteRef/>
      </w:r>
      <w:r w:rsidR="00E71DA2" w:rsidRPr="00181788">
        <w:rPr>
          <w:sz w:val="24"/>
          <w:szCs w:val="24"/>
          <w:lang w:val="pt-PT"/>
        </w:rPr>
        <w:t xml:space="preserve"> </w:t>
      </w:r>
      <w:r w:rsidR="00E71DA2" w:rsidRPr="00181788">
        <w:rPr>
          <w:sz w:val="24"/>
          <w:szCs w:val="24"/>
          <w:lang w:val="pt-PT"/>
        </w:rPr>
        <w:tab/>
      </w:r>
      <w:r w:rsidRPr="00181788">
        <w:rPr>
          <w:sz w:val="24"/>
          <w:szCs w:val="24"/>
          <w:lang w:val="pt-PT"/>
        </w:rPr>
        <w:t>JO C 239 E de 20.8.2013, p. 46.</w:t>
      </w:r>
    </w:p>
  </w:footnote>
  <w:footnote w:id="3">
    <w:p w14:paraId="7D84FFB7" w14:textId="2EC5DC2E" w:rsidR="00282775" w:rsidRPr="00181788" w:rsidRDefault="00282775" w:rsidP="00E71DA2">
      <w:pPr>
        <w:pStyle w:val="FootnoteText"/>
        <w:ind w:left="567" w:hanging="567"/>
        <w:rPr>
          <w:sz w:val="24"/>
          <w:szCs w:val="24"/>
          <w:lang w:val="pt-PT"/>
        </w:rPr>
      </w:pPr>
      <w:r w:rsidRPr="00181788">
        <w:rPr>
          <w:rStyle w:val="FootnoteReference"/>
          <w:sz w:val="24"/>
          <w:szCs w:val="24"/>
          <w:lang w:val="pt-PT"/>
        </w:rPr>
        <w:footnoteRef/>
      </w:r>
      <w:r w:rsidR="00E71DA2" w:rsidRPr="00181788">
        <w:rPr>
          <w:sz w:val="24"/>
          <w:szCs w:val="24"/>
          <w:lang w:val="pt-PT"/>
        </w:rPr>
        <w:t xml:space="preserve"> </w:t>
      </w:r>
      <w:r w:rsidR="00E71DA2" w:rsidRPr="00181788">
        <w:rPr>
          <w:sz w:val="24"/>
          <w:szCs w:val="24"/>
          <w:lang w:val="pt-PT"/>
        </w:rPr>
        <w:tab/>
      </w:r>
      <w:r w:rsidRPr="00181788">
        <w:rPr>
          <w:sz w:val="24"/>
          <w:szCs w:val="24"/>
          <w:lang w:val="pt-PT"/>
        </w:rPr>
        <w:t>JO C 36 de 29.1.2016, p. 137.</w:t>
      </w:r>
    </w:p>
  </w:footnote>
  <w:footnote w:id="4">
    <w:p w14:paraId="725315AD" w14:textId="4D67D600" w:rsidR="00282775" w:rsidRPr="00336899" w:rsidRDefault="00282775" w:rsidP="00E71DA2">
      <w:pPr>
        <w:pStyle w:val="FootnoteText"/>
        <w:ind w:left="567" w:hanging="567"/>
        <w:rPr>
          <w:sz w:val="24"/>
          <w:szCs w:val="24"/>
          <w:lang w:val="da-DK"/>
        </w:rPr>
      </w:pPr>
      <w:r w:rsidRPr="00181788">
        <w:rPr>
          <w:rStyle w:val="FootnoteReference"/>
          <w:sz w:val="24"/>
          <w:szCs w:val="24"/>
          <w:lang w:val="pt-PT"/>
        </w:rPr>
        <w:footnoteRef/>
      </w:r>
      <w:r w:rsidR="00E71DA2" w:rsidRPr="00336899">
        <w:rPr>
          <w:sz w:val="24"/>
          <w:szCs w:val="24"/>
          <w:lang w:val="da-DK"/>
        </w:rPr>
        <w:t xml:space="preserve"> </w:t>
      </w:r>
      <w:r w:rsidR="00E71DA2" w:rsidRPr="00336899">
        <w:rPr>
          <w:sz w:val="24"/>
          <w:szCs w:val="24"/>
          <w:lang w:val="da-DK"/>
        </w:rPr>
        <w:tab/>
      </w:r>
      <w:r w:rsidRPr="00336899">
        <w:rPr>
          <w:sz w:val="24"/>
          <w:szCs w:val="24"/>
          <w:lang w:val="da-DK"/>
        </w:rPr>
        <w:t>JO C 252 de 18.7.2018, p. 2.</w:t>
      </w:r>
    </w:p>
  </w:footnote>
  <w:footnote w:id="5">
    <w:p w14:paraId="787373F9" w14:textId="7367442F" w:rsidR="00282775" w:rsidRPr="00336899" w:rsidRDefault="00282775" w:rsidP="00E71DA2">
      <w:pPr>
        <w:pStyle w:val="FootnoteText"/>
        <w:ind w:left="567" w:hanging="567"/>
        <w:rPr>
          <w:sz w:val="24"/>
          <w:szCs w:val="24"/>
          <w:lang w:val="da-DK"/>
        </w:rPr>
      </w:pPr>
      <w:r w:rsidRPr="00181788">
        <w:rPr>
          <w:rStyle w:val="FootnoteReference"/>
          <w:sz w:val="24"/>
          <w:szCs w:val="24"/>
          <w:lang w:val="pt-PT"/>
        </w:rPr>
        <w:footnoteRef/>
      </w:r>
      <w:r w:rsidR="00E71DA2" w:rsidRPr="00336899">
        <w:rPr>
          <w:sz w:val="24"/>
          <w:szCs w:val="24"/>
          <w:lang w:val="da-DK"/>
        </w:rPr>
        <w:t xml:space="preserve"> </w:t>
      </w:r>
      <w:r w:rsidR="00E71DA2" w:rsidRPr="00336899">
        <w:rPr>
          <w:sz w:val="24"/>
          <w:szCs w:val="24"/>
          <w:lang w:val="da-DK"/>
        </w:rPr>
        <w:tab/>
      </w:r>
      <w:r w:rsidRPr="00336899">
        <w:rPr>
          <w:sz w:val="24"/>
          <w:szCs w:val="24"/>
          <w:lang w:val="da-DK"/>
        </w:rPr>
        <w:t>JO C 15 de 12.1.2022, p. 18.</w:t>
      </w:r>
    </w:p>
  </w:footnote>
  <w:footnote w:id="6">
    <w:p w14:paraId="0035077B" w14:textId="7FD11DF8" w:rsidR="00282775" w:rsidRPr="00181788" w:rsidRDefault="00282775" w:rsidP="00E71DA2">
      <w:pPr>
        <w:pStyle w:val="FootnoteText"/>
        <w:ind w:left="567" w:hanging="567"/>
        <w:rPr>
          <w:sz w:val="24"/>
          <w:szCs w:val="24"/>
          <w:lang w:val="pt-PT"/>
        </w:rPr>
      </w:pPr>
      <w:r w:rsidRPr="00181788">
        <w:rPr>
          <w:rStyle w:val="FootnoteReference"/>
          <w:sz w:val="24"/>
          <w:szCs w:val="24"/>
          <w:lang w:val="pt-PT"/>
        </w:rPr>
        <w:footnoteRef/>
      </w:r>
      <w:r w:rsidR="00E71DA2" w:rsidRPr="00181788">
        <w:rPr>
          <w:sz w:val="24"/>
          <w:szCs w:val="24"/>
          <w:lang w:val="pt-PT"/>
        </w:rPr>
        <w:t xml:space="preserve"> </w:t>
      </w:r>
      <w:r w:rsidR="00E71DA2" w:rsidRPr="00181788">
        <w:rPr>
          <w:sz w:val="24"/>
          <w:szCs w:val="24"/>
          <w:lang w:val="pt-PT"/>
        </w:rPr>
        <w:tab/>
      </w:r>
      <w:r w:rsidRPr="00181788">
        <w:rPr>
          <w:sz w:val="24"/>
          <w:szCs w:val="24"/>
          <w:lang w:val="pt-PT"/>
        </w:rPr>
        <w:t>JO C 224 de 8.6.2022, p. 2.</w:t>
      </w:r>
    </w:p>
  </w:footnote>
  <w:footnote w:id="7">
    <w:p w14:paraId="0D6C9C14" w14:textId="777F22AF" w:rsidR="00282775" w:rsidRPr="00181788" w:rsidRDefault="00282775" w:rsidP="00E71DA2">
      <w:pPr>
        <w:pStyle w:val="FootnoteText"/>
        <w:ind w:left="567" w:hanging="567"/>
        <w:rPr>
          <w:sz w:val="24"/>
          <w:szCs w:val="24"/>
          <w:lang w:val="pt-PT"/>
        </w:rPr>
      </w:pPr>
      <w:r w:rsidRPr="00181788">
        <w:rPr>
          <w:rStyle w:val="FootnoteReference"/>
          <w:sz w:val="24"/>
          <w:szCs w:val="24"/>
          <w:lang w:val="pt-PT"/>
        </w:rPr>
        <w:footnoteRef/>
      </w:r>
      <w:r w:rsidR="00E71DA2" w:rsidRPr="00181788">
        <w:rPr>
          <w:sz w:val="24"/>
          <w:szCs w:val="24"/>
          <w:lang w:val="pt-PT"/>
        </w:rPr>
        <w:t xml:space="preserve"> </w:t>
      </w:r>
      <w:r w:rsidR="00E71DA2" w:rsidRPr="00181788">
        <w:rPr>
          <w:sz w:val="24"/>
          <w:szCs w:val="24"/>
          <w:lang w:val="pt-PT"/>
        </w:rPr>
        <w:tab/>
      </w:r>
      <w:r w:rsidRPr="00181788">
        <w:rPr>
          <w:sz w:val="24"/>
          <w:szCs w:val="24"/>
          <w:lang w:val="pt-PT"/>
        </w:rPr>
        <w:t xml:space="preserve">Estudo </w:t>
      </w:r>
      <w:r w:rsidR="004C211B" w:rsidRPr="00181788">
        <w:rPr>
          <w:sz w:val="24"/>
          <w:szCs w:val="24"/>
          <w:lang w:val="pt-PT"/>
        </w:rPr>
        <w:t xml:space="preserve">– </w:t>
      </w:r>
      <w:r w:rsidRPr="00181788">
        <w:rPr>
          <w:sz w:val="24"/>
          <w:szCs w:val="24"/>
          <w:lang w:val="pt-PT"/>
        </w:rPr>
        <w:t xml:space="preserve">«EU sports </w:t>
      </w:r>
      <w:proofErr w:type="spellStart"/>
      <w:r w:rsidRPr="00181788">
        <w:rPr>
          <w:sz w:val="24"/>
          <w:szCs w:val="24"/>
          <w:lang w:val="pt-PT"/>
        </w:rPr>
        <w:t>policy</w:t>
      </w:r>
      <w:proofErr w:type="spellEnd"/>
      <w:r w:rsidRPr="00181788">
        <w:rPr>
          <w:sz w:val="24"/>
          <w:szCs w:val="24"/>
          <w:lang w:val="pt-PT"/>
        </w:rPr>
        <w:t xml:space="preserve">: </w:t>
      </w:r>
      <w:proofErr w:type="spellStart"/>
      <w:r w:rsidRPr="00181788">
        <w:rPr>
          <w:sz w:val="24"/>
          <w:szCs w:val="24"/>
          <w:lang w:val="pt-PT"/>
        </w:rPr>
        <w:t>assessment</w:t>
      </w:r>
      <w:proofErr w:type="spellEnd"/>
      <w:r w:rsidRPr="00181788">
        <w:rPr>
          <w:sz w:val="24"/>
          <w:szCs w:val="24"/>
          <w:lang w:val="pt-PT"/>
        </w:rPr>
        <w:t xml:space="preserve"> </w:t>
      </w:r>
      <w:proofErr w:type="spellStart"/>
      <w:r w:rsidRPr="00181788">
        <w:rPr>
          <w:sz w:val="24"/>
          <w:szCs w:val="24"/>
          <w:lang w:val="pt-PT"/>
        </w:rPr>
        <w:t>and</w:t>
      </w:r>
      <w:proofErr w:type="spellEnd"/>
      <w:r w:rsidRPr="00181788">
        <w:rPr>
          <w:sz w:val="24"/>
          <w:szCs w:val="24"/>
          <w:lang w:val="pt-PT"/>
        </w:rPr>
        <w:t xml:space="preserve"> </w:t>
      </w:r>
      <w:proofErr w:type="spellStart"/>
      <w:r w:rsidRPr="00181788">
        <w:rPr>
          <w:sz w:val="24"/>
          <w:szCs w:val="24"/>
          <w:lang w:val="pt-PT"/>
        </w:rPr>
        <w:t>possible</w:t>
      </w:r>
      <w:proofErr w:type="spellEnd"/>
      <w:r w:rsidRPr="00181788">
        <w:rPr>
          <w:sz w:val="24"/>
          <w:szCs w:val="24"/>
          <w:lang w:val="pt-PT"/>
        </w:rPr>
        <w:t xml:space="preserve"> </w:t>
      </w:r>
      <w:proofErr w:type="spellStart"/>
      <w:r w:rsidRPr="00181788">
        <w:rPr>
          <w:sz w:val="24"/>
          <w:szCs w:val="24"/>
          <w:lang w:val="pt-PT"/>
        </w:rPr>
        <w:t>ways</w:t>
      </w:r>
      <w:proofErr w:type="spellEnd"/>
      <w:r w:rsidRPr="00181788">
        <w:rPr>
          <w:sz w:val="24"/>
          <w:szCs w:val="24"/>
          <w:lang w:val="pt-PT"/>
        </w:rPr>
        <w:t xml:space="preserve"> </w:t>
      </w:r>
      <w:proofErr w:type="spellStart"/>
      <w:r w:rsidRPr="00181788">
        <w:rPr>
          <w:sz w:val="24"/>
          <w:szCs w:val="24"/>
          <w:lang w:val="pt-PT"/>
        </w:rPr>
        <w:t>forward</w:t>
      </w:r>
      <w:proofErr w:type="spellEnd"/>
      <w:r w:rsidRPr="00181788">
        <w:rPr>
          <w:sz w:val="24"/>
          <w:szCs w:val="24"/>
          <w:lang w:val="pt-PT"/>
        </w:rPr>
        <w:t>» [Política desportiva da UE: avaliação e eventual rumo futuro], Parlamento Europeu, Direção‑Geral das Políticas Internas, Departamento Temático das Políticas Estruturais e de Coesão, junho de 2021.</w:t>
      </w:r>
    </w:p>
  </w:footnote>
  <w:footnote w:id="8">
    <w:p w14:paraId="1AAC6D0F" w14:textId="6362992B" w:rsidR="00282775" w:rsidRPr="00181788" w:rsidRDefault="00282775" w:rsidP="00E71DA2">
      <w:pPr>
        <w:pStyle w:val="FootnoteText"/>
        <w:ind w:left="567" w:hanging="567"/>
        <w:rPr>
          <w:sz w:val="24"/>
          <w:szCs w:val="24"/>
          <w:lang w:val="pt-PT"/>
        </w:rPr>
      </w:pPr>
      <w:r w:rsidRPr="00181788">
        <w:rPr>
          <w:rStyle w:val="FootnoteReference"/>
          <w:sz w:val="24"/>
          <w:szCs w:val="24"/>
          <w:lang w:val="pt-PT"/>
        </w:rPr>
        <w:footnoteRef/>
      </w:r>
      <w:r w:rsidR="00E71DA2" w:rsidRPr="00181788">
        <w:rPr>
          <w:sz w:val="24"/>
          <w:szCs w:val="24"/>
          <w:lang w:val="pt-PT"/>
        </w:rPr>
        <w:t xml:space="preserve"> </w:t>
      </w:r>
      <w:r w:rsidR="00E71DA2" w:rsidRPr="00181788">
        <w:rPr>
          <w:sz w:val="24"/>
          <w:szCs w:val="24"/>
          <w:lang w:val="pt-PT"/>
        </w:rPr>
        <w:tab/>
      </w:r>
      <w:r w:rsidR="004C211B" w:rsidRPr="00181788">
        <w:rPr>
          <w:color w:val="0000FF"/>
          <w:sz w:val="24"/>
          <w:szCs w:val="24"/>
          <w:u w:val="single" w:color="0000FF"/>
          <w:lang w:val="pt-PT"/>
        </w:rPr>
        <w:t xml:space="preserve">Comissão Europeia, Direção-Geral da Educação, da Juventude, do Desporto e da Cultura, </w:t>
      </w:r>
      <w:proofErr w:type="spellStart"/>
      <w:r w:rsidR="004C211B" w:rsidRPr="00181788">
        <w:rPr>
          <w:color w:val="0000FF"/>
          <w:sz w:val="24"/>
          <w:szCs w:val="24"/>
          <w:u w:val="single" w:color="0000FF"/>
          <w:lang w:val="pt-PT"/>
        </w:rPr>
        <w:t>Sennett</w:t>
      </w:r>
      <w:proofErr w:type="spellEnd"/>
      <w:r w:rsidR="004C211B" w:rsidRPr="00181788">
        <w:rPr>
          <w:color w:val="0000FF"/>
          <w:sz w:val="24"/>
          <w:szCs w:val="24"/>
          <w:u w:val="single" w:color="0000FF"/>
          <w:lang w:val="pt-PT"/>
        </w:rPr>
        <w:t xml:space="preserve">, J., </w:t>
      </w:r>
      <w:proofErr w:type="spellStart"/>
      <w:r w:rsidR="004C211B" w:rsidRPr="00181788">
        <w:rPr>
          <w:color w:val="0000FF"/>
          <w:sz w:val="24"/>
          <w:szCs w:val="24"/>
          <w:u w:val="single" w:color="0000FF"/>
          <w:lang w:val="pt-PT"/>
        </w:rPr>
        <w:t>Le</w:t>
      </w:r>
      <w:proofErr w:type="spellEnd"/>
      <w:r w:rsidR="004C211B" w:rsidRPr="00181788">
        <w:rPr>
          <w:color w:val="0000FF"/>
          <w:sz w:val="24"/>
          <w:szCs w:val="24"/>
          <w:u w:val="single" w:color="0000FF"/>
          <w:lang w:val="pt-PT"/>
        </w:rPr>
        <w:t xml:space="preserve"> </w:t>
      </w:r>
      <w:proofErr w:type="spellStart"/>
      <w:r w:rsidR="004C211B" w:rsidRPr="00181788">
        <w:rPr>
          <w:color w:val="0000FF"/>
          <w:sz w:val="24"/>
          <w:szCs w:val="24"/>
          <w:u w:val="single" w:color="0000FF"/>
          <w:lang w:val="pt-PT"/>
        </w:rPr>
        <w:t>Gall</w:t>
      </w:r>
      <w:proofErr w:type="spellEnd"/>
      <w:r w:rsidR="004C211B" w:rsidRPr="00181788">
        <w:rPr>
          <w:color w:val="0000FF"/>
          <w:sz w:val="24"/>
          <w:szCs w:val="24"/>
          <w:u w:val="single" w:color="0000FF"/>
          <w:lang w:val="pt-PT"/>
        </w:rPr>
        <w:t xml:space="preserve">, A., Kelly, G., </w:t>
      </w:r>
      <w:proofErr w:type="spellStart"/>
      <w:r w:rsidR="004C211B" w:rsidRPr="00181788">
        <w:rPr>
          <w:color w:val="0000FF"/>
          <w:sz w:val="24"/>
          <w:szCs w:val="24"/>
          <w:u w:val="single" w:color="0000FF"/>
          <w:lang w:val="pt-PT"/>
        </w:rPr>
        <w:t>Cottrill</w:t>
      </w:r>
      <w:proofErr w:type="spellEnd"/>
      <w:r w:rsidR="004C211B" w:rsidRPr="00181788">
        <w:rPr>
          <w:color w:val="0000FF"/>
          <w:sz w:val="24"/>
          <w:szCs w:val="24"/>
          <w:u w:val="single" w:color="0000FF"/>
          <w:lang w:val="pt-PT"/>
        </w:rPr>
        <w:t xml:space="preserve">, R. </w:t>
      </w:r>
      <w:proofErr w:type="spellStart"/>
      <w:r w:rsidR="004C211B" w:rsidRPr="00181788">
        <w:rPr>
          <w:color w:val="0000FF"/>
          <w:sz w:val="24"/>
          <w:szCs w:val="24"/>
          <w:u w:val="single" w:color="0000FF"/>
          <w:lang w:val="pt-PT"/>
        </w:rPr>
        <w:t>et</w:t>
      </w:r>
      <w:proofErr w:type="spellEnd"/>
      <w:r w:rsidR="004C211B" w:rsidRPr="00181788">
        <w:rPr>
          <w:color w:val="0000FF"/>
          <w:sz w:val="24"/>
          <w:szCs w:val="24"/>
          <w:u w:val="single" w:color="0000FF"/>
          <w:lang w:val="pt-PT"/>
        </w:rPr>
        <w:t xml:space="preserve"> al., «</w:t>
      </w:r>
      <w:proofErr w:type="spellStart"/>
      <w:r w:rsidR="004C211B" w:rsidRPr="00181788">
        <w:rPr>
          <w:color w:val="0000FF"/>
          <w:sz w:val="24"/>
          <w:szCs w:val="24"/>
          <w:u w:val="single" w:color="0000FF"/>
          <w:lang w:val="pt-PT"/>
        </w:rPr>
        <w:t>Study</w:t>
      </w:r>
      <w:proofErr w:type="spellEnd"/>
      <w:r w:rsidR="004C211B" w:rsidRPr="00181788">
        <w:rPr>
          <w:color w:val="0000FF"/>
          <w:sz w:val="24"/>
          <w:szCs w:val="24"/>
          <w:u w:val="single" w:color="0000FF"/>
          <w:lang w:val="pt-PT"/>
        </w:rPr>
        <w:t xml:space="preserve"> </w:t>
      </w:r>
      <w:proofErr w:type="spellStart"/>
      <w:r w:rsidR="004C211B" w:rsidRPr="00181788">
        <w:rPr>
          <w:color w:val="0000FF"/>
          <w:sz w:val="24"/>
          <w:szCs w:val="24"/>
          <w:u w:val="single" w:color="0000FF"/>
          <w:lang w:val="pt-PT"/>
        </w:rPr>
        <w:t>on</w:t>
      </w:r>
      <w:proofErr w:type="spellEnd"/>
      <w:r w:rsidR="004C211B" w:rsidRPr="00181788">
        <w:rPr>
          <w:color w:val="0000FF"/>
          <w:sz w:val="24"/>
          <w:szCs w:val="24"/>
          <w:u w:val="single" w:color="0000FF"/>
          <w:lang w:val="pt-PT"/>
        </w:rPr>
        <w:t xml:space="preserve"> the </w:t>
      </w:r>
      <w:proofErr w:type="spellStart"/>
      <w:r w:rsidR="004C211B" w:rsidRPr="00181788">
        <w:rPr>
          <w:color w:val="0000FF"/>
          <w:sz w:val="24"/>
          <w:szCs w:val="24"/>
          <w:u w:val="single" w:color="0000FF"/>
          <w:lang w:val="pt-PT"/>
        </w:rPr>
        <w:t>European</w:t>
      </w:r>
      <w:proofErr w:type="spellEnd"/>
      <w:r w:rsidR="004C211B" w:rsidRPr="00181788">
        <w:rPr>
          <w:color w:val="0000FF"/>
          <w:sz w:val="24"/>
          <w:szCs w:val="24"/>
          <w:u w:val="single" w:color="0000FF"/>
          <w:lang w:val="pt-PT"/>
        </w:rPr>
        <w:t xml:space="preserve"> sport </w:t>
      </w:r>
      <w:proofErr w:type="spellStart"/>
      <w:r w:rsidR="004C211B" w:rsidRPr="00181788">
        <w:rPr>
          <w:color w:val="0000FF"/>
          <w:sz w:val="24"/>
          <w:szCs w:val="24"/>
          <w:u w:val="single" w:color="0000FF"/>
          <w:lang w:val="pt-PT"/>
        </w:rPr>
        <w:t>model</w:t>
      </w:r>
      <w:proofErr w:type="spellEnd"/>
      <w:r w:rsidR="004C211B" w:rsidRPr="00181788">
        <w:rPr>
          <w:color w:val="0000FF"/>
          <w:sz w:val="24"/>
          <w:szCs w:val="24"/>
          <w:u w:val="single" w:color="0000FF"/>
          <w:lang w:val="pt-PT"/>
        </w:rPr>
        <w:t xml:space="preserve"> – A </w:t>
      </w:r>
      <w:proofErr w:type="spellStart"/>
      <w:r w:rsidR="004C211B" w:rsidRPr="00181788">
        <w:rPr>
          <w:color w:val="0000FF"/>
          <w:sz w:val="24"/>
          <w:szCs w:val="24"/>
          <w:u w:val="single" w:color="0000FF"/>
          <w:lang w:val="pt-PT"/>
        </w:rPr>
        <w:t>report</w:t>
      </w:r>
      <w:proofErr w:type="spellEnd"/>
      <w:r w:rsidR="004C211B" w:rsidRPr="00181788">
        <w:rPr>
          <w:color w:val="0000FF"/>
          <w:sz w:val="24"/>
          <w:szCs w:val="24"/>
          <w:u w:val="single" w:color="0000FF"/>
          <w:lang w:val="pt-PT"/>
        </w:rPr>
        <w:t xml:space="preserve"> to the </w:t>
      </w:r>
      <w:proofErr w:type="spellStart"/>
      <w:r w:rsidR="004C211B" w:rsidRPr="00181788">
        <w:rPr>
          <w:color w:val="0000FF"/>
          <w:sz w:val="24"/>
          <w:szCs w:val="24"/>
          <w:u w:val="single" w:color="0000FF"/>
          <w:lang w:val="pt-PT"/>
        </w:rPr>
        <w:t>European</w:t>
      </w:r>
      <w:proofErr w:type="spellEnd"/>
      <w:r w:rsidR="004C211B" w:rsidRPr="00181788">
        <w:rPr>
          <w:color w:val="0000FF"/>
          <w:sz w:val="24"/>
          <w:szCs w:val="24"/>
          <w:u w:val="single" w:color="0000FF"/>
          <w:lang w:val="pt-PT"/>
        </w:rPr>
        <w:t xml:space="preserve"> </w:t>
      </w:r>
      <w:proofErr w:type="spellStart"/>
      <w:r w:rsidR="004C211B" w:rsidRPr="00181788">
        <w:rPr>
          <w:color w:val="0000FF"/>
          <w:sz w:val="24"/>
          <w:szCs w:val="24"/>
          <w:u w:val="single" w:color="0000FF"/>
          <w:lang w:val="pt-PT"/>
        </w:rPr>
        <w:t>Commission</w:t>
      </w:r>
      <w:proofErr w:type="spellEnd"/>
      <w:r w:rsidR="004C211B" w:rsidRPr="00181788">
        <w:rPr>
          <w:color w:val="0000FF"/>
          <w:sz w:val="24"/>
          <w:szCs w:val="24"/>
          <w:u w:val="single" w:color="0000FF"/>
          <w:lang w:val="pt-PT"/>
        </w:rPr>
        <w:t>» [Estudo sobre o modelo europeu do desporto – Relatório à Comissão Europeia], Serviço das Publicações da União Europeia, 2022, </w:t>
      </w:r>
      <w:hyperlink r:id="rId2" w:history="1">
        <w:r w:rsidR="004C211B" w:rsidRPr="00181788">
          <w:rPr>
            <w:rStyle w:val="Hyperlink"/>
            <w:sz w:val="24"/>
            <w:szCs w:val="24"/>
            <w:lang w:val="pt-PT"/>
          </w:rPr>
          <w:t>https://data.europa.eu/doi/10.2766/28433</w:t>
        </w:r>
      </w:hyperlink>
      <w:r w:rsidR="004C211B" w:rsidRPr="00181788">
        <w:rPr>
          <w:color w:val="0000FF"/>
          <w:sz w:val="24"/>
          <w:szCs w:val="24"/>
          <w:u w:val="single" w:color="0000FF"/>
          <w:lang w:val="pt-PT"/>
        </w:rPr>
        <w:t>.</w:t>
      </w:r>
    </w:p>
  </w:footnote>
  <w:footnote w:id="9">
    <w:p w14:paraId="63E0865C" w14:textId="5997B145" w:rsidR="00282775" w:rsidRPr="00336899" w:rsidRDefault="00282775" w:rsidP="00E71DA2">
      <w:pPr>
        <w:pStyle w:val="FootnoteText"/>
        <w:ind w:left="567" w:hanging="567"/>
        <w:rPr>
          <w:sz w:val="24"/>
          <w:szCs w:val="24"/>
          <w:lang w:val="fi-FI"/>
        </w:rPr>
      </w:pPr>
      <w:r w:rsidRPr="00181788">
        <w:rPr>
          <w:rStyle w:val="FootnoteReference"/>
          <w:sz w:val="24"/>
          <w:szCs w:val="24"/>
          <w:lang w:val="pt-PT"/>
        </w:rPr>
        <w:footnoteRef/>
      </w:r>
      <w:r w:rsidR="00E71DA2" w:rsidRPr="00336899">
        <w:rPr>
          <w:sz w:val="24"/>
          <w:szCs w:val="24"/>
          <w:lang w:val="fi-FI"/>
        </w:rPr>
        <w:t xml:space="preserve"> </w:t>
      </w:r>
      <w:r w:rsidR="00E71DA2" w:rsidRPr="00336899">
        <w:rPr>
          <w:sz w:val="24"/>
          <w:szCs w:val="24"/>
          <w:lang w:val="fi-FI"/>
        </w:rPr>
        <w:tab/>
      </w:r>
      <w:r w:rsidRPr="00336899">
        <w:rPr>
          <w:sz w:val="24"/>
          <w:szCs w:val="24"/>
          <w:lang w:val="fi-FI"/>
        </w:rPr>
        <w:t xml:space="preserve">JO C, C/2024/3527, 3.6.2024, ELI: </w:t>
      </w:r>
      <w:hyperlink r:id="rId3" w:history="1">
        <w:r w:rsidRPr="00336899">
          <w:rPr>
            <w:rStyle w:val="Hyperlink"/>
            <w:szCs w:val="24"/>
            <w:lang w:val="fi-FI"/>
          </w:rPr>
          <w:t>http://data.europa.eu/eli/C/2024/3527/oj</w:t>
        </w:r>
      </w:hyperlink>
      <w:r w:rsidRPr="00336899">
        <w:rPr>
          <w:sz w:val="24"/>
          <w:szCs w:val="24"/>
          <w:lang w:val="fi-FI"/>
        </w:rPr>
        <w:t>.</w:t>
      </w:r>
    </w:p>
  </w:footnote>
  <w:footnote w:id="10">
    <w:p w14:paraId="378F665F" w14:textId="7F1E1C0B" w:rsidR="00282775" w:rsidRPr="00181788" w:rsidRDefault="00282775" w:rsidP="00E71DA2">
      <w:pPr>
        <w:pStyle w:val="FootnoteText"/>
        <w:ind w:left="567" w:hanging="567"/>
        <w:rPr>
          <w:sz w:val="24"/>
          <w:szCs w:val="24"/>
          <w:lang w:val="pt-PT"/>
        </w:rPr>
      </w:pPr>
      <w:r w:rsidRPr="00181788">
        <w:rPr>
          <w:rStyle w:val="FootnoteReference"/>
          <w:sz w:val="24"/>
          <w:szCs w:val="24"/>
          <w:lang w:val="pt-PT"/>
        </w:rPr>
        <w:footnoteRef/>
      </w:r>
      <w:r w:rsidR="00E71DA2" w:rsidRPr="00181788">
        <w:rPr>
          <w:sz w:val="24"/>
          <w:szCs w:val="24"/>
          <w:lang w:val="pt-PT"/>
        </w:rPr>
        <w:t xml:space="preserve"> </w:t>
      </w:r>
      <w:r w:rsidR="00E71DA2" w:rsidRPr="00181788">
        <w:rPr>
          <w:sz w:val="24"/>
          <w:szCs w:val="24"/>
          <w:lang w:val="pt-PT"/>
        </w:rPr>
        <w:tab/>
      </w:r>
      <w:r w:rsidRPr="00181788">
        <w:rPr>
          <w:sz w:val="24"/>
          <w:szCs w:val="24"/>
          <w:lang w:val="pt-PT"/>
        </w:rPr>
        <w:t xml:space="preserve">Acórdão do Tribunal de Justiça, de 21 de dezembro de 2023, </w:t>
      </w:r>
      <w:proofErr w:type="spellStart"/>
      <w:r w:rsidRPr="00181788">
        <w:rPr>
          <w:sz w:val="24"/>
          <w:szCs w:val="24"/>
          <w:lang w:val="pt-PT"/>
        </w:rPr>
        <w:t>International</w:t>
      </w:r>
      <w:proofErr w:type="spellEnd"/>
      <w:r w:rsidRPr="00181788">
        <w:rPr>
          <w:sz w:val="24"/>
          <w:szCs w:val="24"/>
          <w:lang w:val="pt-PT"/>
        </w:rPr>
        <w:t xml:space="preserve"> </w:t>
      </w:r>
      <w:proofErr w:type="spellStart"/>
      <w:r w:rsidRPr="00181788">
        <w:rPr>
          <w:sz w:val="24"/>
          <w:szCs w:val="24"/>
          <w:lang w:val="pt-PT"/>
        </w:rPr>
        <w:t>Skating</w:t>
      </w:r>
      <w:proofErr w:type="spellEnd"/>
      <w:r w:rsidRPr="00181788">
        <w:rPr>
          <w:sz w:val="24"/>
          <w:szCs w:val="24"/>
          <w:lang w:val="pt-PT"/>
        </w:rPr>
        <w:t xml:space="preserve"> </w:t>
      </w:r>
      <w:proofErr w:type="spellStart"/>
      <w:r w:rsidRPr="00181788">
        <w:rPr>
          <w:sz w:val="24"/>
          <w:szCs w:val="24"/>
          <w:lang w:val="pt-PT"/>
        </w:rPr>
        <w:t>Union</w:t>
      </w:r>
      <w:proofErr w:type="spellEnd"/>
      <w:r w:rsidRPr="00181788">
        <w:rPr>
          <w:sz w:val="24"/>
          <w:szCs w:val="24"/>
          <w:lang w:val="pt-PT"/>
        </w:rPr>
        <w:t>/Comissão Europeia, C-124/21 P, ECLI:EU:C:2023:1012.</w:t>
      </w:r>
    </w:p>
  </w:footnote>
  <w:footnote w:id="11">
    <w:p w14:paraId="13572C99" w14:textId="06A31F93" w:rsidR="00282775" w:rsidRPr="00181788" w:rsidRDefault="00282775" w:rsidP="00E71DA2">
      <w:pPr>
        <w:pStyle w:val="FootnoteText"/>
        <w:ind w:left="567" w:hanging="567"/>
        <w:rPr>
          <w:sz w:val="24"/>
          <w:szCs w:val="24"/>
          <w:lang w:val="pt-PT"/>
        </w:rPr>
      </w:pPr>
      <w:r w:rsidRPr="00181788">
        <w:rPr>
          <w:rStyle w:val="FootnoteReference"/>
          <w:sz w:val="24"/>
          <w:szCs w:val="24"/>
          <w:lang w:val="pt-PT"/>
        </w:rPr>
        <w:footnoteRef/>
      </w:r>
      <w:r w:rsidR="00E71DA2" w:rsidRPr="00181788">
        <w:rPr>
          <w:sz w:val="24"/>
          <w:szCs w:val="24"/>
          <w:lang w:val="pt-PT"/>
        </w:rPr>
        <w:t xml:space="preserve"> </w:t>
      </w:r>
      <w:r w:rsidR="00E71DA2" w:rsidRPr="00181788">
        <w:rPr>
          <w:sz w:val="24"/>
          <w:szCs w:val="24"/>
          <w:lang w:val="pt-PT"/>
        </w:rPr>
        <w:tab/>
      </w:r>
      <w:r w:rsidRPr="00181788">
        <w:rPr>
          <w:sz w:val="24"/>
          <w:szCs w:val="24"/>
          <w:lang w:val="pt-PT"/>
        </w:rPr>
        <w:t xml:space="preserve">Acórdão do Tribunal de Justiça, de 21 de dezembro de 2023, UL e SA </w:t>
      </w:r>
      <w:proofErr w:type="spellStart"/>
      <w:r w:rsidRPr="00181788">
        <w:rPr>
          <w:sz w:val="24"/>
          <w:szCs w:val="24"/>
          <w:lang w:val="pt-PT"/>
        </w:rPr>
        <w:t>Royal</w:t>
      </w:r>
      <w:proofErr w:type="spellEnd"/>
      <w:r w:rsidRPr="00181788">
        <w:rPr>
          <w:sz w:val="24"/>
          <w:szCs w:val="24"/>
          <w:lang w:val="pt-PT"/>
        </w:rPr>
        <w:t xml:space="preserve"> </w:t>
      </w:r>
      <w:proofErr w:type="spellStart"/>
      <w:r w:rsidRPr="00181788">
        <w:rPr>
          <w:sz w:val="24"/>
          <w:szCs w:val="24"/>
          <w:lang w:val="pt-PT"/>
        </w:rPr>
        <w:t>Antwerp</w:t>
      </w:r>
      <w:proofErr w:type="spellEnd"/>
      <w:r w:rsidRPr="00181788">
        <w:rPr>
          <w:sz w:val="24"/>
          <w:szCs w:val="24"/>
          <w:lang w:val="pt-PT"/>
        </w:rPr>
        <w:t xml:space="preserve"> </w:t>
      </w:r>
      <w:proofErr w:type="spellStart"/>
      <w:r w:rsidRPr="00181788">
        <w:rPr>
          <w:sz w:val="24"/>
          <w:szCs w:val="24"/>
          <w:lang w:val="pt-PT"/>
        </w:rPr>
        <w:t>Football</w:t>
      </w:r>
      <w:proofErr w:type="spellEnd"/>
      <w:r w:rsidRPr="00181788">
        <w:rPr>
          <w:sz w:val="24"/>
          <w:szCs w:val="24"/>
          <w:lang w:val="pt-PT"/>
        </w:rPr>
        <w:t xml:space="preserve"> Club/</w:t>
      </w:r>
      <w:proofErr w:type="spellStart"/>
      <w:r w:rsidRPr="00181788">
        <w:rPr>
          <w:sz w:val="24"/>
          <w:szCs w:val="24"/>
          <w:lang w:val="pt-PT"/>
        </w:rPr>
        <w:t>Union</w:t>
      </w:r>
      <w:proofErr w:type="spellEnd"/>
      <w:r w:rsidRPr="00181788">
        <w:rPr>
          <w:sz w:val="24"/>
          <w:szCs w:val="24"/>
          <w:lang w:val="pt-PT"/>
        </w:rPr>
        <w:t xml:space="preserve"> </w:t>
      </w:r>
      <w:proofErr w:type="spellStart"/>
      <w:r w:rsidRPr="00181788">
        <w:rPr>
          <w:sz w:val="24"/>
          <w:szCs w:val="24"/>
          <w:lang w:val="pt-PT"/>
        </w:rPr>
        <w:t>royale</w:t>
      </w:r>
      <w:proofErr w:type="spellEnd"/>
      <w:r w:rsidRPr="00181788">
        <w:rPr>
          <w:sz w:val="24"/>
          <w:szCs w:val="24"/>
          <w:lang w:val="pt-PT"/>
        </w:rPr>
        <w:t xml:space="preserve"> </w:t>
      </w:r>
      <w:proofErr w:type="spellStart"/>
      <w:r w:rsidRPr="00181788">
        <w:rPr>
          <w:sz w:val="24"/>
          <w:szCs w:val="24"/>
          <w:lang w:val="pt-PT"/>
        </w:rPr>
        <w:t>belge</w:t>
      </w:r>
      <w:proofErr w:type="spellEnd"/>
      <w:r w:rsidRPr="00181788">
        <w:rPr>
          <w:sz w:val="24"/>
          <w:szCs w:val="24"/>
          <w:lang w:val="pt-PT"/>
        </w:rPr>
        <w:t xml:space="preserve"> </w:t>
      </w:r>
      <w:proofErr w:type="spellStart"/>
      <w:r w:rsidRPr="00181788">
        <w:rPr>
          <w:sz w:val="24"/>
          <w:szCs w:val="24"/>
          <w:lang w:val="pt-PT"/>
        </w:rPr>
        <w:t>des</w:t>
      </w:r>
      <w:proofErr w:type="spellEnd"/>
      <w:r w:rsidRPr="00181788">
        <w:rPr>
          <w:sz w:val="24"/>
          <w:szCs w:val="24"/>
          <w:lang w:val="pt-PT"/>
        </w:rPr>
        <w:t xml:space="preserve"> </w:t>
      </w:r>
      <w:proofErr w:type="spellStart"/>
      <w:r w:rsidRPr="00181788">
        <w:rPr>
          <w:sz w:val="24"/>
          <w:szCs w:val="24"/>
          <w:lang w:val="pt-PT"/>
        </w:rPr>
        <w:t>sociétés</w:t>
      </w:r>
      <w:proofErr w:type="spellEnd"/>
      <w:r w:rsidRPr="00181788">
        <w:rPr>
          <w:sz w:val="24"/>
          <w:szCs w:val="24"/>
          <w:lang w:val="pt-PT"/>
        </w:rPr>
        <w:t xml:space="preserve"> de </w:t>
      </w:r>
      <w:proofErr w:type="spellStart"/>
      <w:r w:rsidRPr="00181788">
        <w:rPr>
          <w:sz w:val="24"/>
          <w:szCs w:val="24"/>
          <w:lang w:val="pt-PT"/>
        </w:rPr>
        <w:t>football</w:t>
      </w:r>
      <w:proofErr w:type="spellEnd"/>
      <w:r w:rsidRPr="00181788">
        <w:rPr>
          <w:sz w:val="24"/>
          <w:szCs w:val="24"/>
          <w:lang w:val="pt-PT"/>
        </w:rPr>
        <w:t xml:space="preserve"> </w:t>
      </w:r>
      <w:proofErr w:type="spellStart"/>
      <w:r w:rsidRPr="00181788">
        <w:rPr>
          <w:sz w:val="24"/>
          <w:szCs w:val="24"/>
          <w:lang w:val="pt-PT"/>
        </w:rPr>
        <w:t>association</w:t>
      </w:r>
      <w:proofErr w:type="spellEnd"/>
      <w:r w:rsidRPr="00181788">
        <w:rPr>
          <w:sz w:val="24"/>
          <w:szCs w:val="24"/>
          <w:lang w:val="pt-PT"/>
        </w:rPr>
        <w:t xml:space="preserve"> ASBL, C-680/21, ECLI:EU:C:2023:1010.</w:t>
      </w:r>
    </w:p>
  </w:footnote>
  <w:footnote w:id="12">
    <w:p w14:paraId="12569425" w14:textId="6452C76A" w:rsidR="00282775" w:rsidRPr="00181788" w:rsidRDefault="00282775" w:rsidP="00E71DA2">
      <w:pPr>
        <w:pStyle w:val="FootnoteText"/>
        <w:ind w:left="567" w:hanging="567"/>
        <w:rPr>
          <w:sz w:val="24"/>
          <w:szCs w:val="24"/>
          <w:lang w:val="pt-PT"/>
        </w:rPr>
      </w:pPr>
      <w:r w:rsidRPr="00181788">
        <w:rPr>
          <w:rStyle w:val="FootnoteReference"/>
          <w:sz w:val="24"/>
          <w:szCs w:val="24"/>
          <w:lang w:val="pt-PT"/>
        </w:rPr>
        <w:footnoteRef/>
      </w:r>
      <w:r w:rsidR="00E71DA2" w:rsidRPr="00181788">
        <w:rPr>
          <w:sz w:val="24"/>
          <w:szCs w:val="24"/>
          <w:lang w:val="pt-PT"/>
        </w:rPr>
        <w:t xml:space="preserve"> </w:t>
      </w:r>
      <w:r w:rsidR="00E71DA2" w:rsidRPr="00181788">
        <w:rPr>
          <w:sz w:val="24"/>
          <w:szCs w:val="24"/>
          <w:lang w:val="pt-PT"/>
        </w:rPr>
        <w:tab/>
      </w:r>
      <w:r w:rsidRPr="00181788">
        <w:rPr>
          <w:sz w:val="24"/>
          <w:szCs w:val="24"/>
          <w:lang w:val="pt-PT"/>
        </w:rPr>
        <w:t xml:space="preserve">Acórdão do Tribunal de Justiça, de 21 de dezembro de 2023, </w:t>
      </w:r>
      <w:proofErr w:type="spellStart"/>
      <w:r w:rsidRPr="00181788">
        <w:rPr>
          <w:sz w:val="24"/>
          <w:szCs w:val="24"/>
          <w:lang w:val="pt-PT"/>
        </w:rPr>
        <w:t>European</w:t>
      </w:r>
      <w:proofErr w:type="spellEnd"/>
      <w:r w:rsidRPr="00181788">
        <w:rPr>
          <w:sz w:val="24"/>
          <w:szCs w:val="24"/>
          <w:lang w:val="pt-PT"/>
        </w:rPr>
        <w:t xml:space="preserve"> </w:t>
      </w:r>
      <w:proofErr w:type="spellStart"/>
      <w:r w:rsidRPr="00181788">
        <w:rPr>
          <w:sz w:val="24"/>
          <w:szCs w:val="24"/>
          <w:lang w:val="pt-PT"/>
        </w:rPr>
        <w:t>Superleague</w:t>
      </w:r>
      <w:proofErr w:type="spellEnd"/>
      <w:r w:rsidRPr="00181788">
        <w:rPr>
          <w:sz w:val="24"/>
          <w:szCs w:val="24"/>
          <w:lang w:val="pt-PT"/>
        </w:rPr>
        <w:t xml:space="preserve"> </w:t>
      </w:r>
      <w:proofErr w:type="spellStart"/>
      <w:r w:rsidRPr="00181788">
        <w:rPr>
          <w:sz w:val="24"/>
          <w:szCs w:val="24"/>
          <w:lang w:val="pt-PT"/>
        </w:rPr>
        <w:t>Company</w:t>
      </w:r>
      <w:proofErr w:type="spellEnd"/>
      <w:r w:rsidRPr="00181788">
        <w:rPr>
          <w:sz w:val="24"/>
          <w:szCs w:val="24"/>
          <w:lang w:val="pt-PT"/>
        </w:rPr>
        <w:t>, SL/</w:t>
      </w:r>
      <w:proofErr w:type="spellStart"/>
      <w:r w:rsidRPr="00181788">
        <w:rPr>
          <w:sz w:val="24"/>
          <w:szCs w:val="24"/>
          <w:lang w:val="pt-PT"/>
        </w:rPr>
        <w:t>Fédération</w:t>
      </w:r>
      <w:proofErr w:type="spellEnd"/>
      <w:r w:rsidRPr="00181788">
        <w:rPr>
          <w:sz w:val="24"/>
          <w:szCs w:val="24"/>
          <w:lang w:val="pt-PT"/>
        </w:rPr>
        <w:t xml:space="preserve"> </w:t>
      </w:r>
      <w:proofErr w:type="spellStart"/>
      <w:r w:rsidRPr="00181788">
        <w:rPr>
          <w:sz w:val="24"/>
          <w:szCs w:val="24"/>
          <w:lang w:val="pt-PT"/>
        </w:rPr>
        <w:t>internationale</w:t>
      </w:r>
      <w:proofErr w:type="spellEnd"/>
      <w:r w:rsidRPr="00181788">
        <w:rPr>
          <w:sz w:val="24"/>
          <w:szCs w:val="24"/>
          <w:lang w:val="pt-PT"/>
        </w:rPr>
        <w:t xml:space="preserve"> de </w:t>
      </w:r>
      <w:proofErr w:type="spellStart"/>
      <w:r w:rsidRPr="00181788">
        <w:rPr>
          <w:sz w:val="24"/>
          <w:szCs w:val="24"/>
          <w:lang w:val="pt-PT"/>
        </w:rPr>
        <w:t>football</w:t>
      </w:r>
      <w:proofErr w:type="spellEnd"/>
      <w:r w:rsidRPr="00181788">
        <w:rPr>
          <w:sz w:val="24"/>
          <w:szCs w:val="24"/>
          <w:lang w:val="pt-PT"/>
        </w:rPr>
        <w:t xml:space="preserve"> </w:t>
      </w:r>
      <w:proofErr w:type="spellStart"/>
      <w:r w:rsidRPr="00181788">
        <w:rPr>
          <w:sz w:val="24"/>
          <w:szCs w:val="24"/>
          <w:lang w:val="pt-PT"/>
        </w:rPr>
        <w:t>association</w:t>
      </w:r>
      <w:proofErr w:type="spellEnd"/>
      <w:r w:rsidRPr="00181788">
        <w:rPr>
          <w:sz w:val="24"/>
          <w:szCs w:val="24"/>
          <w:lang w:val="pt-PT"/>
        </w:rPr>
        <w:t xml:space="preserve"> (FIFA) e </w:t>
      </w:r>
      <w:proofErr w:type="spellStart"/>
      <w:r w:rsidRPr="00181788">
        <w:rPr>
          <w:sz w:val="24"/>
          <w:szCs w:val="24"/>
          <w:lang w:val="pt-PT"/>
        </w:rPr>
        <w:t>Union</w:t>
      </w:r>
      <w:proofErr w:type="spellEnd"/>
      <w:r w:rsidRPr="00181788">
        <w:rPr>
          <w:sz w:val="24"/>
          <w:szCs w:val="24"/>
          <w:lang w:val="pt-PT"/>
        </w:rPr>
        <w:t xml:space="preserve"> </w:t>
      </w:r>
      <w:proofErr w:type="spellStart"/>
      <w:r w:rsidRPr="00181788">
        <w:rPr>
          <w:sz w:val="24"/>
          <w:szCs w:val="24"/>
          <w:lang w:val="pt-PT"/>
        </w:rPr>
        <w:t>of</w:t>
      </w:r>
      <w:proofErr w:type="spellEnd"/>
      <w:r w:rsidRPr="00181788">
        <w:rPr>
          <w:sz w:val="24"/>
          <w:szCs w:val="24"/>
          <w:lang w:val="pt-PT"/>
        </w:rPr>
        <w:t xml:space="preserve"> </w:t>
      </w:r>
      <w:proofErr w:type="spellStart"/>
      <w:r w:rsidRPr="00181788">
        <w:rPr>
          <w:sz w:val="24"/>
          <w:szCs w:val="24"/>
          <w:lang w:val="pt-PT"/>
        </w:rPr>
        <w:t>European</w:t>
      </w:r>
      <w:proofErr w:type="spellEnd"/>
      <w:r w:rsidRPr="00181788">
        <w:rPr>
          <w:sz w:val="24"/>
          <w:szCs w:val="24"/>
          <w:lang w:val="pt-PT"/>
        </w:rPr>
        <w:t xml:space="preserve"> </w:t>
      </w:r>
      <w:proofErr w:type="spellStart"/>
      <w:r w:rsidRPr="00181788">
        <w:rPr>
          <w:sz w:val="24"/>
          <w:szCs w:val="24"/>
          <w:lang w:val="pt-PT"/>
        </w:rPr>
        <w:t>Football</w:t>
      </w:r>
      <w:proofErr w:type="spellEnd"/>
      <w:r w:rsidRPr="00181788">
        <w:rPr>
          <w:sz w:val="24"/>
          <w:szCs w:val="24"/>
          <w:lang w:val="pt-PT"/>
        </w:rPr>
        <w:t xml:space="preserve"> </w:t>
      </w:r>
      <w:proofErr w:type="spellStart"/>
      <w:r w:rsidRPr="00181788">
        <w:rPr>
          <w:sz w:val="24"/>
          <w:szCs w:val="24"/>
          <w:lang w:val="pt-PT"/>
        </w:rPr>
        <w:t>Associations</w:t>
      </w:r>
      <w:proofErr w:type="spellEnd"/>
      <w:r w:rsidRPr="00181788">
        <w:rPr>
          <w:sz w:val="24"/>
          <w:szCs w:val="24"/>
          <w:lang w:val="pt-PT"/>
        </w:rPr>
        <w:t xml:space="preserve"> (UEFA), C-333/21, ECLI:EU:C:2023:1011.</w:t>
      </w:r>
    </w:p>
  </w:footnote>
  <w:footnote w:id="13">
    <w:p w14:paraId="1E7E0983" w14:textId="18499A3C" w:rsidR="00282775" w:rsidRPr="00181788" w:rsidRDefault="00282775" w:rsidP="00E71DA2">
      <w:pPr>
        <w:pStyle w:val="FootnoteText"/>
        <w:ind w:left="567" w:hanging="567"/>
        <w:rPr>
          <w:sz w:val="24"/>
          <w:szCs w:val="24"/>
          <w:lang w:val="pt-PT"/>
        </w:rPr>
      </w:pPr>
      <w:r w:rsidRPr="00181788">
        <w:rPr>
          <w:rStyle w:val="FootnoteReference"/>
          <w:sz w:val="24"/>
          <w:szCs w:val="24"/>
          <w:lang w:val="pt-PT"/>
        </w:rPr>
        <w:footnoteRef/>
      </w:r>
      <w:r w:rsidR="00E71DA2" w:rsidRPr="00181788">
        <w:rPr>
          <w:sz w:val="24"/>
          <w:szCs w:val="24"/>
          <w:lang w:val="pt-PT"/>
        </w:rPr>
        <w:t xml:space="preserve"> </w:t>
      </w:r>
      <w:r w:rsidR="00E71DA2" w:rsidRPr="00181788">
        <w:rPr>
          <w:sz w:val="24"/>
          <w:szCs w:val="24"/>
          <w:lang w:val="pt-PT"/>
        </w:rPr>
        <w:tab/>
      </w:r>
      <w:r w:rsidRPr="00181788">
        <w:rPr>
          <w:sz w:val="24"/>
          <w:szCs w:val="24"/>
          <w:lang w:val="pt-PT"/>
        </w:rPr>
        <w:t xml:space="preserve">Acórdão do Tribunal de Justiça, de 4 de outubro de 2024, </w:t>
      </w:r>
      <w:proofErr w:type="spellStart"/>
      <w:r w:rsidRPr="00181788">
        <w:rPr>
          <w:sz w:val="24"/>
          <w:szCs w:val="24"/>
          <w:lang w:val="pt-PT"/>
        </w:rPr>
        <w:t>Fédération</w:t>
      </w:r>
      <w:proofErr w:type="spellEnd"/>
      <w:r w:rsidRPr="00181788">
        <w:rPr>
          <w:sz w:val="24"/>
          <w:szCs w:val="24"/>
          <w:lang w:val="pt-PT"/>
        </w:rPr>
        <w:t xml:space="preserve"> </w:t>
      </w:r>
      <w:proofErr w:type="spellStart"/>
      <w:r w:rsidRPr="00181788">
        <w:rPr>
          <w:sz w:val="24"/>
          <w:szCs w:val="24"/>
          <w:lang w:val="pt-PT"/>
        </w:rPr>
        <w:t>internationale</w:t>
      </w:r>
      <w:proofErr w:type="spellEnd"/>
      <w:r w:rsidRPr="00181788">
        <w:rPr>
          <w:sz w:val="24"/>
          <w:szCs w:val="24"/>
          <w:lang w:val="pt-PT"/>
        </w:rPr>
        <w:t xml:space="preserve"> de </w:t>
      </w:r>
      <w:proofErr w:type="spellStart"/>
      <w:r w:rsidRPr="00181788">
        <w:rPr>
          <w:sz w:val="24"/>
          <w:szCs w:val="24"/>
          <w:lang w:val="pt-PT"/>
        </w:rPr>
        <w:t>football</w:t>
      </w:r>
      <w:proofErr w:type="spellEnd"/>
      <w:r w:rsidRPr="00181788">
        <w:rPr>
          <w:sz w:val="24"/>
          <w:szCs w:val="24"/>
          <w:lang w:val="pt-PT"/>
        </w:rPr>
        <w:t xml:space="preserve"> </w:t>
      </w:r>
      <w:proofErr w:type="spellStart"/>
      <w:r w:rsidRPr="00181788">
        <w:rPr>
          <w:sz w:val="24"/>
          <w:szCs w:val="24"/>
          <w:lang w:val="pt-PT"/>
        </w:rPr>
        <w:t>association</w:t>
      </w:r>
      <w:proofErr w:type="spellEnd"/>
      <w:r w:rsidRPr="00181788">
        <w:rPr>
          <w:sz w:val="24"/>
          <w:szCs w:val="24"/>
          <w:lang w:val="pt-PT"/>
        </w:rPr>
        <w:t xml:space="preserve"> (FIFA)/BZ, C‑650/22, ECLI:EU:C:2024:824.</w:t>
      </w:r>
    </w:p>
  </w:footnote>
  <w:footnote w:id="14">
    <w:p w14:paraId="643FB7A9" w14:textId="77C0715A" w:rsidR="00282775" w:rsidRPr="00181788" w:rsidRDefault="00282775" w:rsidP="00E71DA2">
      <w:pPr>
        <w:pStyle w:val="FootnoteText"/>
        <w:ind w:left="567" w:hanging="567"/>
        <w:rPr>
          <w:sz w:val="24"/>
          <w:szCs w:val="24"/>
          <w:lang w:val="pt-PT"/>
        </w:rPr>
      </w:pPr>
      <w:r w:rsidRPr="00181788">
        <w:rPr>
          <w:rStyle w:val="FootnoteReference"/>
          <w:sz w:val="24"/>
          <w:szCs w:val="24"/>
          <w:lang w:val="pt-PT"/>
        </w:rPr>
        <w:footnoteRef/>
      </w:r>
      <w:r w:rsidR="00E71DA2" w:rsidRPr="00181788">
        <w:rPr>
          <w:sz w:val="24"/>
          <w:szCs w:val="24"/>
          <w:lang w:val="pt-PT"/>
        </w:rPr>
        <w:t xml:space="preserve"> </w:t>
      </w:r>
      <w:r w:rsidR="00E71DA2" w:rsidRPr="00181788">
        <w:rPr>
          <w:sz w:val="24"/>
          <w:szCs w:val="24"/>
          <w:lang w:val="pt-PT"/>
        </w:rPr>
        <w:tab/>
      </w:r>
      <w:r w:rsidRPr="00181788">
        <w:rPr>
          <w:sz w:val="24"/>
          <w:szCs w:val="24"/>
          <w:lang w:val="pt-PT"/>
        </w:rPr>
        <w:t>JO C 501 de 13.12.2021, p.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D9C58" w14:textId="77777777" w:rsidR="00064002" w:rsidRPr="00E71DA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ED40C" w14:textId="77777777" w:rsidR="00064002" w:rsidRPr="00E71DA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0C2D3" w14:textId="77777777" w:rsidR="00064002" w:rsidRPr="00E71DA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76706767">
    <w:abstractNumId w:val="9"/>
  </w:num>
  <w:num w:numId="2" w16cid:durableId="1744058521">
    <w:abstractNumId w:val="9"/>
  </w:num>
  <w:num w:numId="3" w16cid:durableId="1112556097">
    <w:abstractNumId w:val="7"/>
  </w:num>
  <w:num w:numId="4" w16cid:durableId="1112629707">
    <w:abstractNumId w:val="7"/>
  </w:num>
  <w:num w:numId="5" w16cid:durableId="805240882">
    <w:abstractNumId w:val="6"/>
  </w:num>
  <w:num w:numId="6" w16cid:durableId="1513567073">
    <w:abstractNumId w:val="6"/>
  </w:num>
  <w:num w:numId="7" w16cid:durableId="309753848">
    <w:abstractNumId w:val="5"/>
  </w:num>
  <w:num w:numId="8" w16cid:durableId="906573141">
    <w:abstractNumId w:val="5"/>
  </w:num>
  <w:num w:numId="9" w16cid:durableId="499127992">
    <w:abstractNumId w:val="4"/>
  </w:num>
  <w:num w:numId="10" w16cid:durableId="1971207412">
    <w:abstractNumId w:val="4"/>
  </w:num>
  <w:num w:numId="11" w16cid:durableId="1083987913">
    <w:abstractNumId w:val="8"/>
  </w:num>
  <w:num w:numId="12" w16cid:durableId="1551922340">
    <w:abstractNumId w:val="8"/>
  </w:num>
  <w:num w:numId="13" w16cid:durableId="1247615934">
    <w:abstractNumId w:val="3"/>
  </w:num>
  <w:num w:numId="14" w16cid:durableId="1261374007">
    <w:abstractNumId w:val="3"/>
  </w:num>
  <w:num w:numId="15" w16cid:durableId="1567492368">
    <w:abstractNumId w:val="2"/>
  </w:num>
  <w:num w:numId="16" w16cid:durableId="1464156365">
    <w:abstractNumId w:val="2"/>
  </w:num>
  <w:num w:numId="17" w16cid:durableId="2131362405">
    <w:abstractNumId w:val="1"/>
  </w:num>
  <w:num w:numId="18" w16cid:durableId="437212906">
    <w:abstractNumId w:val="1"/>
  </w:num>
  <w:num w:numId="19" w16cid:durableId="529685670">
    <w:abstractNumId w:val="0"/>
  </w:num>
  <w:num w:numId="20" w16cid:durableId="1120106039">
    <w:abstractNumId w:val="0"/>
  </w:num>
  <w:num w:numId="21" w16cid:durableId="1232733856">
    <w:abstractNumId w:val="9"/>
  </w:num>
  <w:num w:numId="22" w16cid:durableId="846796354">
    <w:abstractNumId w:val="7"/>
  </w:num>
  <w:num w:numId="23" w16cid:durableId="926960898">
    <w:abstractNumId w:val="6"/>
  </w:num>
  <w:num w:numId="24" w16cid:durableId="1065833992">
    <w:abstractNumId w:val="5"/>
  </w:num>
  <w:num w:numId="25" w16cid:durableId="509608835">
    <w:abstractNumId w:val="4"/>
  </w:num>
  <w:num w:numId="26" w16cid:durableId="1457023848">
    <w:abstractNumId w:val="8"/>
  </w:num>
  <w:num w:numId="27" w16cid:durableId="1954898643">
    <w:abstractNumId w:val="3"/>
  </w:num>
  <w:num w:numId="28" w16cid:durableId="1685814968">
    <w:abstractNumId w:val="2"/>
  </w:num>
  <w:num w:numId="29" w16cid:durableId="1315835279">
    <w:abstractNumId w:val="1"/>
  </w:num>
  <w:num w:numId="30" w16cid:durableId="502667769">
    <w:abstractNumId w:val="0"/>
  </w:num>
  <w:num w:numId="31" w16cid:durableId="1244412063">
    <w:abstractNumId w:val="9"/>
  </w:num>
  <w:num w:numId="32" w16cid:durableId="1071544750">
    <w:abstractNumId w:val="7"/>
  </w:num>
  <w:num w:numId="33" w16cid:durableId="2120712038">
    <w:abstractNumId w:val="6"/>
  </w:num>
  <w:num w:numId="34" w16cid:durableId="1705058059">
    <w:abstractNumId w:val="5"/>
  </w:num>
  <w:num w:numId="35" w16cid:durableId="36390829">
    <w:abstractNumId w:val="4"/>
  </w:num>
  <w:num w:numId="36" w16cid:durableId="479923161">
    <w:abstractNumId w:val="8"/>
  </w:num>
  <w:num w:numId="37" w16cid:durableId="673604836">
    <w:abstractNumId w:val="3"/>
  </w:num>
  <w:num w:numId="38" w16cid:durableId="1495947967">
    <w:abstractNumId w:val="2"/>
  </w:num>
  <w:num w:numId="39" w16cid:durableId="270624879">
    <w:abstractNumId w:val="1"/>
  </w:num>
  <w:num w:numId="40" w16cid:durableId="1843927441">
    <w:abstractNumId w:val="0"/>
  </w:num>
  <w:num w:numId="41" w16cid:durableId="1268660836">
    <w:abstractNumId w:val="10"/>
  </w:num>
  <w:num w:numId="42" w16cid:durableId="1353606491">
    <w:abstractNumId w:val="10"/>
  </w:num>
  <w:num w:numId="43" w16cid:durableId="724836831">
    <w:abstractNumId w:val="10"/>
  </w:num>
  <w:num w:numId="44" w16cid:durableId="1336395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7/2025"/>
    <w:docVar w:name="dvlangue" w:val="PT"/>
    <w:docVar w:name="dvnumam" w:val="0"/>
    <w:docVar w:name="dvpe" w:val="772.146"/>
    <w:docVar w:name="dvrapporteur" w:val="Relator: "/>
    <w:docVar w:name="dvtitre" w:val="Resolução do Parlamento Europeu, de ... de ... de 2025,_x000d__x000a_ sobre o papel das políticas da UE na definição do modelo europeu do desporto(2025/2035(INI))"/>
  </w:docVars>
  <w:rsids>
    <w:rsidRoot w:val="00204268"/>
    <w:rsid w:val="00002272"/>
    <w:rsid w:val="00064002"/>
    <w:rsid w:val="000677B9"/>
    <w:rsid w:val="000831BA"/>
    <w:rsid w:val="000A42CC"/>
    <w:rsid w:val="000E7DD9"/>
    <w:rsid w:val="0010095E"/>
    <w:rsid w:val="00125B37"/>
    <w:rsid w:val="00145999"/>
    <w:rsid w:val="00181788"/>
    <w:rsid w:val="00187494"/>
    <w:rsid w:val="001F32AE"/>
    <w:rsid w:val="00204268"/>
    <w:rsid w:val="002767FF"/>
    <w:rsid w:val="00282775"/>
    <w:rsid w:val="002B18FE"/>
    <w:rsid w:val="002B5493"/>
    <w:rsid w:val="0033689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211B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32BB"/>
    <w:rsid w:val="007B7A46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47B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6E6D"/>
    <w:rsid w:val="00CF071A"/>
    <w:rsid w:val="00D058B8"/>
    <w:rsid w:val="00D44D82"/>
    <w:rsid w:val="00D56C11"/>
    <w:rsid w:val="00D834A0"/>
    <w:rsid w:val="00D872DF"/>
    <w:rsid w:val="00D91E21"/>
    <w:rsid w:val="00D96315"/>
    <w:rsid w:val="00DA7FCD"/>
    <w:rsid w:val="00DD4141"/>
    <w:rsid w:val="00E365E1"/>
    <w:rsid w:val="00E71DA2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F08B53"/>
  <w15:chartTrackingRefBased/>
  <w15:docId w15:val="{725CF07C-D5E2-4932-946D-1273C25D6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82775"/>
    <w:pPr>
      <w:spacing w:before="480" w:after="240"/>
    </w:pPr>
    <w:rPr>
      <w:snapToGrid w:val="0"/>
      <w:lang w:val="en-GB" w:eastAsia="en-US"/>
    </w:rPr>
  </w:style>
  <w:style w:type="paragraph" w:customStyle="1" w:styleId="NormalHanging12a">
    <w:name w:val="NormalHanging12a"/>
    <w:basedOn w:val="Normal"/>
    <w:rsid w:val="00282775"/>
    <w:pPr>
      <w:widowControl/>
      <w:spacing w:after="240"/>
      <w:ind w:left="567" w:hanging="567"/>
    </w:pPr>
    <w:rPr>
      <w:snapToGrid w:val="0"/>
      <w:lang w:val="en-GB" w:eastAsia="en-US"/>
    </w:rPr>
  </w:style>
  <w:style w:type="paragraph" w:customStyle="1" w:styleId="NormalCenter12a">
    <w:name w:val="NormalCenter12a"/>
    <w:basedOn w:val="Normal"/>
    <w:rsid w:val="00282775"/>
    <w:pPr>
      <w:spacing w:after="240"/>
      <w:jc w:val="center"/>
    </w:pPr>
    <w:rPr>
      <w:lang w:val="en-GB"/>
    </w:rPr>
  </w:style>
  <w:style w:type="character" w:customStyle="1" w:styleId="BoldItalic">
    <w:name w:val="BoldItalic"/>
    <w:uiPriority w:val="1"/>
    <w:rsid w:val="00282775"/>
    <w:rPr>
      <w:b/>
      <w:i/>
      <w:u w:val="none"/>
    </w:rPr>
  </w:style>
  <w:style w:type="character" w:customStyle="1" w:styleId="Italic">
    <w:name w:val="Italic"/>
    <w:uiPriority w:val="1"/>
    <w:rsid w:val="00282775"/>
    <w:rPr>
      <w:i/>
    </w:rPr>
  </w:style>
  <w:style w:type="paragraph" w:customStyle="1" w:styleId="Normal12a24b">
    <w:name w:val="Normal12a24b"/>
    <w:basedOn w:val="Normal"/>
    <w:rsid w:val="00282775"/>
    <w:pPr>
      <w:spacing w:before="360" w:after="240"/>
    </w:pPr>
    <w:rPr>
      <w:snapToGrid w:val="0"/>
      <w:lang w:val="en-GB" w:eastAsia="en-US"/>
    </w:rPr>
  </w:style>
  <w:style w:type="character" w:styleId="Hyperlink">
    <w:name w:val="Hyperlink"/>
    <w:basedOn w:val="DefaultParagraphFont"/>
    <w:rsid w:val="00282775"/>
    <w:rPr>
      <w:color w:val="0000FF"/>
      <w:u w:val="single"/>
    </w:rPr>
  </w:style>
  <w:style w:type="paragraph" w:styleId="Revision">
    <w:name w:val="Revision"/>
    <w:hidden/>
    <w:uiPriority w:val="99"/>
    <w:semiHidden/>
    <w:rsid w:val="004C211B"/>
    <w:rPr>
      <w:sz w:val="24"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4C21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3527/oj" TargetMode="External"/><Relationship Id="rId2" Type="http://schemas.openxmlformats.org/officeDocument/2006/relationships/hyperlink" Target="https://data.europa.eu/doi/10.2766/28433" TargetMode="External"/><Relationship Id="rId1" Type="http://schemas.openxmlformats.org/officeDocument/2006/relationships/hyperlink" Target="http://data.europa.eu/eli/reg/2021/81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3500</Words>
  <Characters>19240</Characters>
  <Application>Microsoft Office Word</Application>
  <DocSecurity>0</DocSecurity>
  <Lines>712</Lines>
  <Paragraphs>372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MARTINSIsabelAlex</cp:lastModifiedBy>
  <cp:revision>2</cp:revision>
  <cp:lastPrinted>2004-11-19T15:42:00Z</cp:lastPrinted>
  <dcterms:created xsi:type="dcterms:W3CDTF">2025-10-07T10:38:00Z</dcterms:created>
  <dcterms:modified xsi:type="dcterms:W3CDTF">2025-10-07T10:38:00Z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A10-0157/2025</vt:lpwstr>
  </property>
  <property fmtid="{D5CDD505-2E9C-101B-9397-08002B2CF9AE}" pid="4" name="&lt;Type&gt;">
    <vt:lpwstr>RR</vt:lpwstr>
  </property>
</Properties>
</file>