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5285" w14:paraId="5D5C263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51EC85" w14:textId="6856CB64" w:rsidR="00751A4A" w:rsidRPr="006E5285" w:rsidRDefault="007C3DEB" w:rsidP="0010095E">
            <w:pPr>
              <w:pStyle w:val="EPName"/>
            </w:pPr>
            <w:r w:rsidRPr="006E5285">
              <w:t>Европейски</w:t>
            </w:r>
            <w:r w:rsidR="0007134C" w:rsidRPr="006E5285">
              <w:t xml:space="preserve"> парламент</w:t>
            </w:r>
          </w:p>
          <w:p w14:paraId="7BEBA7E5" w14:textId="7B256A10" w:rsidR="00751A4A" w:rsidRPr="006E528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5285">
              <w:t>2024</w:t>
            </w:r>
            <w:r w:rsidR="007C3DEB">
              <w:t> – </w:t>
            </w:r>
            <w:r w:rsidR="00817416" w:rsidRPr="006E5285">
              <w:t>202</w:t>
            </w:r>
            <w:r w:rsidRPr="006E5285">
              <w:t>9</w:t>
            </w:r>
          </w:p>
        </w:tc>
        <w:tc>
          <w:tcPr>
            <w:tcW w:w="2268" w:type="dxa"/>
            <w:shd w:val="clear" w:color="auto" w:fill="auto"/>
          </w:tcPr>
          <w:p w14:paraId="1A94E684" w14:textId="77777777" w:rsidR="00751A4A" w:rsidRPr="006E5285" w:rsidRDefault="00187494" w:rsidP="0010095E">
            <w:pPr>
              <w:pStyle w:val="EPLogo"/>
            </w:pPr>
            <w:r w:rsidRPr="006E5285">
              <w:rPr>
                <w:noProof/>
                <w:lang w:eastAsia="ja-JP"/>
              </w:rPr>
              <w:drawing>
                <wp:inline distT="0" distB="0" distL="0" distR="0" wp14:anchorId="008461FD" wp14:editId="71AFE14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3260F9" w14:textId="77777777" w:rsidR="00D058B8" w:rsidRPr="006E5285" w:rsidRDefault="00D058B8" w:rsidP="004C5D52">
      <w:pPr>
        <w:pStyle w:val="LineTop"/>
      </w:pPr>
    </w:p>
    <w:p w14:paraId="2EBF0042" w14:textId="77777777" w:rsidR="00680577" w:rsidRPr="006E5285" w:rsidRDefault="0007134C" w:rsidP="00680577">
      <w:pPr>
        <w:pStyle w:val="EPBodyTA1"/>
      </w:pPr>
      <w:r w:rsidRPr="006E5285">
        <w:t>ПРИЕТИ ТЕКСТОВЕ</w:t>
      </w:r>
    </w:p>
    <w:p w14:paraId="7079A89C" w14:textId="77777777" w:rsidR="00D058B8" w:rsidRPr="006E5285" w:rsidRDefault="00D058B8" w:rsidP="00D058B8">
      <w:pPr>
        <w:pStyle w:val="LineBottom"/>
      </w:pPr>
    </w:p>
    <w:p w14:paraId="06465133" w14:textId="3BA82ADC" w:rsidR="0007134C" w:rsidRPr="00401320" w:rsidRDefault="0007134C" w:rsidP="0007134C">
      <w:pPr>
        <w:pStyle w:val="ATHeading1"/>
        <w:rPr>
          <w:lang w:val="en-GB"/>
        </w:rPr>
      </w:pPr>
      <w:bookmarkStart w:id="0" w:name="TANumber"/>
      <w:r w:rsidRPr="006E5285">
        <w:t>P10_TA(2025)</w:t>
      </w:r>
      <w:bookmarkEnd w:id="0"/>
      <w:r w:rsidR="00401320" w:rsidRPr="006E5285">
        <w:t>0</w:t>
      </w:r>
      <w:r w:rsidR="00401320">
        <w:rPr>
          <w:lang w:val="en-GB"/>
        </w:rPr>
        <w:t>216</w:t>
      </w:r>
    </w:p>
    <w:p w14:paraId="52A5D3FD" w14:textId="77777777" w:rsidR="0007134C" w:rsidRPr="006E5285" w:rsidRDefault="0007134C" w:rsidP="0007134C">
      <w:pPr>
        <w:pStyle w:val="ATHeading2"/>
      </w:pPr>
      <w:bookmarkStart w:id="1" w:name="title"/>
      <w:r w:rsidRPr="006E5285">
        <w:t>Оттегляне на Европейския съюз от Международната група за изследване на каучука (МГИК)</w:t>
      </w:r>
      <w:bookmarkEnd w:id="1"/>
    </w:p>
    <w:p w14:paraId="3EC26F2C" w14:textId="77777777" w:rsidR="0007134C" w:rsidRPr="006E5285" w:rsidRDefault="0007134C" w:rsidP="0007134C">
      <w:pPr>
        <w:rPr>
          <w:i/>
          <w:vanish/>
        </w:rPr>
      </w:pPr>
      <w:r w:rsidRPr="006E5285">
        <w:rPr>
          <w:i/>
        </w:rPr>
        <w:fldChar w:fldCharType="begin"/>
      </w:r>
      <w:r w:rsidRPr="006E5285">
        <w:rPr>
          <w:i/>
        </w:rPr>
        <w:instrText xml:space="preserve"> TC"(</w:instrText>
      </w:r>
      <w:bookmarkStart w:id="2" w:name="DocNumber"/>
      <w:r w:rsidRPr="006E5285">
        <w:rPr>
          <w:i/>
        </w:rPr>
        <w:instrText>A10-0186/2025</w:instrText>
      </w:r>
      <w:bookmarkEnd w:id="2"/>
      <w:r w:rsidRPr="006E5285">
        <w:rPr>
          <w:i/>
        </w:rPr>
        <w:instrText xml:space="preserve"> - Докладчик: Бернд Ланге)"\l3 \n&gt; \* MERGEFORMAT </w:instrText>
      </w:r>
      <w:r w:rsidRPr="006E5285">
        <w:rPr>
          <w:i/>
        </w:rPr>
        <w:fldChar w:fldCharType="end"/>
      </w:r>
    </w:p>
    <w:p w14:paraId="442FB1CB" w14:textId="77777777" w:rsidR="0007134C" w:rsidRPr="006E5285" w:rsidRDefault="0007134C" w:rsidP="0007134C">
      <w:pPr>
        <w:rPr>
          <w:vanish/>
        </w:rPr>
      </w:pPr>
      <w:bookmarkStart w:id="3" w:name="Commission"/>
      <w:r w:rsidRPr="006E5285">
        <w:rPr>
          <w:vanish/>
        </w:rPr>
        <w:t>Комисия по международна търговия</w:t>
      </w:r>
      <w:bookmarkEnd w:id="3"/>
    </w:p>
    <w:p w14:paraId="74C4852C" w14:textId="77777777" w:rsidR="0007134C" w:rsidRPr="006E5285" w:rsidRDefault="0007134C" w:rsidP="0007134C">
      <w:pPr>
        <w:rPr>
          <w:vanish/>
        </w:rPr>
      </w:pPr>
      <w:bookmarkStart w:id="4" w:name="PE"/>
      <w:r w:rsidRPr="006E5285">
        <w:rPr>
          <w:vanish/>
        </w:rPr>
        <w:t>PE778.026</w:t>
      </w:r>
      <w:bookmarkEnd w:id="4"/>
    </w:p>
    <w:p w14:paraId="3235CD51" w14:textId="1C09D577" w:rsidR="0007134C" w:rsidRPr="006E5285" w:rsidRDefault="0007134C" w:rsidP="0007134C">
      <w:pPr>
        <w:pStyle w:val="ATHeading3"/>
      </w:pPr>
      <w:bookmarkStart w:id="5" w:name="Sujet"/>
      <w:r w:rsidRPr="006E5285">
        <w:t xml:space="preserve">Законодателна резолюция на Европейския парламент от </w:t>
      </w:r>
      <w:r w:rsidR="007C3DEB">
        <w:t xml:space="preserve">8 </w:t>
      </w:r>
      <w:r w:rsidR="0090699A">
        <w:t>октомври</w:t>
      </w:r>
      <w:r w:rsidRPr="006E5285">
        <w:t xml:space="preserve"> 2025 г. относно проекта на решение на Съвета относно оттеглянето на Европейския съюз от Международната група за изследване на каучука (МГИК)</w:t>
      </w:r>
      <w:bookmarkEnd w:id="5"/>
      <w:r w:rsidRPr="006E5285">
        <w:t xml:space="preserve"> </w:t>
      </w:r>
      <w:bookmarkStart w:id="6" w:name="References"/>
      <w:r w:rsidRPr="006E5285">
        <w:t>(11951/2025 – C10-0208/2025 – 2017/0159(NLE))</w:t>
      </w:r>
      <w:bookmarkEnd w:id="6"/>
    </w:p>
    <w:p w14:paraId="5512584B" w14:textId="77777777" w:rsidR="0007134C" w:rsidRPr="006E5285" w:rsidRDefault="0007134C" w:rsidP="0007134C"/>
    <w:p w14:paraId="3AC9C2F6" w14:textId="77777777" w:rsidR="00BC7742" w:rsidRPr="006E5285" w:rsidRDefault="00BC7742" w:rsidP="00BC7742">
      <w:pPr>
        <w:pStyle w:val="NormalBold"/>
      </w:pPr>
      <w:bookmarkStart w:id="7" w:name="TextBodyBegin"/>
      <w:bookmarkEnd w:id="7"/>
      <w:r w:rsidRPr="006E5285">
        <w:t>(Одобрение)</w:t>
      </w:r>
    </w:p>
    <w:p w14:paraId="69492E22" w14:textId="77777777" w:rsidR="00BC7742" w:rsidRPr="006E5285" w:rsidRDefault="00BC7742" w:rsidP="00BC7742">
      <w:pPr>
        <w:pStyle w:val="EPComma"/>
      </w:pPr>
      <w:r w:rsidRPr="006E5285">
        <w:rPr>
          <w:i/>
          <w:iCs/>
        </w:rPr>
        <w:t>Европейският парламент</w:t>
      </w:r>
      <w:r w:rsidRPr="006E5285">
        <w:t>,</w:t>
      </w:r>
    </w:p>
    <w:p w14:paraId="377BB53B" w14:textId="77777777" w:rsidR="00BC7742" w:rsidRPr="006E5285" w:rsidRDefault="00BC7742" w:rsidP="00BC7742">
      <w:pPr>
        <w:pStyle w:val="NormalHanging12a"/>
      </w:pPr>
      <w:r w:rsidRPr="006E5285">
        <w:t>–</w:t>
      </w:r>
      <w:r w:rsidRPr="006E5285">
        <w:tab/>
        <w:t>като взе предвид проекта на решение на Съвета (11951/2025),</w:t>
      </w:r>
    </w:p>
    <w:p w14:paraId="1FE45AF9" w14:textId="77777777" w:rsidR="00BC7742" w:rsidRPr="006E5285" w:rsidRDefault="00BC7742" w:rsidP="00BC7742">
      <w:pPr>
        <w:pStyle w:val="NormalHanging12a"/>
      </w:pPr>
      <w:r w:rsidRPr="006E5285">
        <w:t>–</w:t>
      </w:r>
      <w:r w:rsidRPr="006E5285">
        <w:tab/>
        <w:t>като взе предвид Устава на Международната група за изследване на каучука</w:t>
      </w:r>
      <w:r w:rsidRPr="006E5285">
        <w:rPr>
          <w:vertAlign w:val="superscript"/>
        </w:rPr>
        <w:footnoteReference w:id="1"/>
      </w:r>
      <w:r w:rsidRPr="006E5285">
        <w:t xml:space="preserve">, и по-специално член XVI, параграф 3 от него, </w:t>
      </w:r>
    </w:p>
    <w:p w14:paraId="1682C153" w14:textId="7FBFE330" w:rsidR="00BC7742" w:rsidRPr="006E5285" w:rsidRDefault="00BC7742" w:rsidP="00BC7742">
      <w:pPr>
        <w:pStyle w:val="NormalHanging12a"/>
      </w:pPr>
      <w:r w:rsidRPr="006E5285">
        <w:t>–</w:t>
      </w:r>
      <w:r w:rsidRPr="006E5285">
        <w:tab/>
        <w:t>като взе предвид искането за одобрение, представено от Съвета в съответствие с член 207, параграф 4, първа алинея и член 218, параграф 6, втора алинея, буква а), точка v) от Договора за функционирането на Е</w:t>
      </w:r>
      <w:r w:rsidR="007C3DEB">
        <w:t>вропейския съюз</w:t>
      </w:r>
      <w:r w:rsidRPr="006E5285">
        <w:t xml:space="preserve"> (C10</w:t>
      </w:r>
      <w:r w:rsidRPr="006E5285">
        <w:noBreakHyphen/>
        <w:t>0208/2025),</w:t>
      </w:r>
    </w:p>
    <w:p w14:paraId="313F4FD7" w14:textId="77777777" w:rsidR="00BC7742" w:rsidRPr="006E5285" w:rsidRDefault="00BC7742" w:rsidP="00BC7742">
      <w:pPr>
        <w:pStyle w:val="NormalHanging12a"/>
      </w:pPr>
      <w:r w:rsidRPr="006E5285">
        <w:t>–</w:t>
      </w:r>
      <w:r w:rsidRPr="006E5285">
        <w:tab/>
        <w:t>като взе предвид член 107, параграфи 1 и 4 и член 117, параграф 7 от своя Правилник за дейността,</w:t>
      </w:r>
    </w:p>
    <w:p w14:paraId="64E6B7E8" w14:textId="77777777" w:rsidR="00BC7742" w:rsidRPr="006E5285" w:rsidRDefault="00BC7742" w:rsidP="00BC7742">
      <w:pPr>
        <w:pStyle w:val="NormalHanging12a"/>
      </w:pPr>
      <w:r w:rsidRPr="006E5285">
        <w:t>–</w:t>
      </w:r>
      <w:r w:rsidRPr="006E5285">
        <w:tab/>
        <w:t>като взе предвид препоръката на комисията по международна търговия (A10-0186/2025),</w:t>
      </w:r>
    </w:p>
    <w:p w14:paraId="022A2018" w14:textId="77777777" w:rsidR="00BC7742" w:rsidRPr="006E5285" w:rsidRDefault="00BC7742" w:rsidP="00BC7742">
      <w:pPr>
        <w:pStyle w:val="NormalHanging12a"/>
      </w:pPr>
      <w:r w:rsidRPr="006E5285">
        <w:t>1.</w:t>
      </w:r>
      <w:r w:rsidRPr="006E5285">
        <w:tab/>
        <w:t>дава своето одобрение за оттеглянето на Европейския съюз от Международната група за изследване на каучука (МГИК)</w:t>
      </w:r>
    </w:p>
    <w:p w14:paraId="251DDFE9" w14:textId="5D26222D" w:rsidR="006E5285" w:rsidRPr="006E5285" w:rsidRDefault="00BC7742" w:rsidP="006E5285">
      <w:pPr>
        <w:pStyle w:val="NormalHanging12a"/>
      </w:pPr>
      <w:r w:rsidRPr="006E5285">
        <w:t>2.</w:t>
      </w:r>
      <w:r w:rsidRPr="006E5285">
        <w:tab/>
        <w:t xml:space="preserve"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секретариата на Международната група за изследване на </w:t>
      </w:r>
      <w:r w:rsidRPr="006E5285">
        <w:lastRenderedPageBreak/>
        <w:t>каучука.</w:t>
      </w:r>
    </w:p>
    <w:p w14:paraId="055A2801" w14:textId="1A4AAB1F" w:rsidR="00E365E1" w:rsidRPr="006E5285" w:rsidRDefault="00E365E1" w:rsidP="0007134C"/>
    <w:sectPr w:rsidR="00E365E1" w:rsidRPr="006E5285" w:rsidSect="006E52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23CBC" w14:textId="77777777" w:rsidR="0007134C" w:rsidRPr="006E5285" w:rsidRDefault="0007134C">
      <w:r w:rsidRPr="006E5285">
        <w:separator/>
      </w:r>
    </w:p>
  </w:endnote>
  <w:endnote w:type="continuationSeparator" w:id="0">
    <w:p w14:paraId="1071809D" w14:textId="77777777" w:rsidR="0007134C" w:rsidRPr="006E5285" w:rsidRDefault="0007134C">
      <w:r w:rsidRPr="006E528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6BE3D" w14:textId="77777777" w:rsidR="00064002" w:rsidRPr="006E528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00444" w14:textId="77777777" w:rsidR="00064002" w:rsidRPr="006E528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22A4A" w14:textId="77777777" w:rsidR="00064002" w:rsidRPr="006E528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D3515" w14:textId="77777777" w:rsidR="0007134C" w:rsidRPr="006E5285" w:rsidRDefault="0007134C">
      <w:r w:rsidRPr="006E5285">
        <w:separator/>
      </w:r>
    </w:p>
  </w:footnote>
  <w:footnote w:type="continuationSeparator" w:id="0">
    <w:p w14:paraId="2FCC87C8" w14:textId="77777777" w:rsidR="0007134C" w:rsidRPr="006E5285" w:rsidRDefault="0007134C">
      <w:r w:rsidRPr="006E5285">
        <w:continuationSeparator/>
      </w:r>
    </w:p>
  </w:footnote>
  <w:footnote w:id="1">
    <w:p w14:paraId="1FE62B11" w14:textId="3F452FF6" w:rsidR="00BC7742" w:rsidRPr="006E5285" w:rsidRDefault="00BC7742" w:rsidP="006E5285">
      <w:pPr>
        <w:pStyle w:val="FootnoteText"/>
        <w:ind w:left="567" w:hanging="567"/>
        <w:rPr>
          <w:sz w:val="24"/>
          <w:lang w:val="bg-BG"/>
        </w:rPr>
      </w:pPr>
      <w:r w:rsidRPr="006E5285">
        <w:rPr>
          <w:rStyle w:val="FootnoteReference"/>
          <w:sz w:val="24"/>
          <w:lang w:val="bg-BG"/>
        </w:rPr>
        <w:footnoteRef/>
      </w:r>
      <w:r w:rsidR="006E5285" w:rsidRPr="006E5285">
        <w:rPr>
          <w:sz w:val="24"/>
          <w:lang w:val="bg-BG"/>
        </w:rPr>
        <w:t xml:space="preserve"> </w:t>
      </w:r>
      <w:r w:rsidR="006E5285" w:rsidRPr="006E5285">
        <w:rPr>
          <w:sz w:val="24"/>
          <w:lang w:val="bg-BG"/>
        </w:rPr>
        <w:tab/>
      </w:r>
      <w:r w:rsidRPr="006E5285">
        <w:rPr>
          <w:sz w:val="24"/>
          <w:lang w:val="bg-BG"/>
        </w:rPr>
        <w:t xml:space="preserve">ОВ L 264, 8.10.2011 г., стр. 14, ELI: </w:t>
      </w:r>
      <w:hyperlink r:id="rId1" w:history="1">
        <w:r w:rsidRPr="006E5285">
          <w:rPr>
            <w:rStyle w:val="Hyperlink"/>
            <w:sz w:val="24"/>
            <w:lang w:val="bg-BG"/>
          </w:rPr>
          <w:t>http://data.europa.eu/eli/statute/2011/1008/oj</w:t>
        </w:r>
      </w:hyperlink>
      <w:r w:rsidR="007C3DEB">
        <w:rPr>
          <w:rStyle w:val="Hyperlink"/>
          <w:sz w:val="24"/>
          <w:lang w:val="bg-BG"/>
        </w:rPr>
        <w:t>.</w:t>
      </w:r>
      <w:r w:rsidRPr="006E5285">
        <w:rPr>
          <w:sz w:val="24"/>
          <w:lang w:val="bg-BG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7902F" w14:textId="77777777" w:rsidR="00064002" w:rsidRPr="006E528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52915" w14:textId="77777777" w:rsidR="00064002" w:rsidRPr="006E528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6AD77" w14:textId="77777777" w:rsidR="00064002" w:rsidRPr="006E528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73829198">
    <w:abstractNumId w:val="9"/>
  </w:num>
  <w:num w:numId="2" w16cid:durableId="1078017488">
    <w:abstractNumId w:val="9"/>
  </w:num>
  <w:num w:numId="3" w16cid:durableId="1083530174">
    <w:abstractNumId w:val="7"/>
  </w:num>
  <w:num w:numId="4" w16cid:durableId="299725844">
    <w:abstractNumId w:val="7"/>
  </w:num>
  <w:num w:numId="5" w16cid:durableId="1418670866">
    <w:abstractNumId w:val="6"/>
  </w:num>
  <w:num w:numId="6" w16cid:durableId="593173320">
    <w:abstractNumId w:val="6"/>
  </w:num>
  <w:num w:numId="7" w16cid:durableId="196430941">
    <w:abstractNumId w:val="5"/>
  </w:num>
  <w:num w:numId="8" w16cid:durableId="1990397494">
    <w:abstractNumId w:val="5"/>
  </w:num>
  <w:num w:numId="9" w16cid:durableId="233130929">
    <w:abstractNumId w:val="4"/>
  </w:num>
  <w:num w:numId="10" w16cid:durableId="1695614603">
    <w:abstractNumId w:val="4"/>
  </w:num>
  <w:num w:numId="11" w16cid:durableId="1142576426">
    <w:abstractNumId w:val="8"/>
  </w:num>
  <w:num w:numId="12" w16cid:durableId="1141272518">
    <w:abstractNumId w:val="8"/>
  </w:num>
  <w:num w:numId="13" w16cid:durableId="1859274663">
    <w:abstractNumId w:val="3"/>
  </w:num>
  <w:num w:numId="14" w16cid:durableId="257981874">
    <w:abstractNumId w:val="3"/>
  </w:num>
  <w:num w:numId="15" w16cid:durableId="69280280">
    <w:abstractNumId w:val="2"/>
  </w:num>
  <w:num w:numId="16" w16cid:durableId="53898461">
    <w:abstractNumId w:val="2"/>
  </w:num>
  <w:num w:numId="17" w16cid:durableId="1398749078">
    <w:abstractNumId w:val="1"/>
  </w:num>
  <w:num w:numId="18" w16cid:durableId="1046368663">
    <w:abstractNumId w:val="1"/>
  </w:num>
  <w:num w:numId="19" w16cid:durableId="1610965939">
    <w:abstractNumId w:val="0"/>
  </w:num>
  <w:num w:numId="20" w16cid:durableId="697197992">
    <w:abstractNumId w:val="0"/>
  </w:num>
  <w:num w:numId="21" w16cid:durableId="1936554626">
    <w:abstractNumId w:val="9"/>
  </w:num>
  <w:num w:numId="22" w16cid:durableId="1896089567">
    <w:abstractNumId w:val="7"/>
  </w:num>
  <w:num w:numId="23" w16cid:durableId="1540321301">
    <w:abstractNumId w:val="6"/>
  </w:num>
  <w:num w:numId="24" w16cid:durableId="479153110">
    <w:abstractNumId w:val="5"/>
  </w:num>
  <w:num w:numId="25" w16cid:durableId="1077751066">
    <w:abstractNumId w:val="4"/>
  </w:num>
  <w:num w:numId="26" w16cid:durableId="1047993924">
    <w:abstractNumId w:val="8"/>
  </w:num>
  <w:num w:numId="27" w16cid:durableId="2137292400">
    <w:abstractNumId w:val="3"/>
  </w:num>
  <w:num w:numId="28" w16cid:durableId="1841388996">
    <w:abstractNumId w:val="2"/>
  </w:num>
  <w:num w:numId="29" w16cid:durableId="845898844">
    <w:abstractNumId w:val="1"/>
  </w:num>
  <w:num w:numId="30" w16cid:durableId="1737627088">
    <w:abstractNumId w:val="0"/>
  </w:num>
  <w:num w:numId="31" w16cid:durableId="24410312">
    <w:abstractNumId w:val="9"/>
  </w:num>
  <w:num w:numId="32" w16cid:durableId="1603761481">
    <w:abstractNumId w:val="7"/>
  </w:num>
  <w:num w:numId="33" w16cid:durableId="1455636101">
    <w:abstractNumId w:val="6"/>
  </w:num>
  <w:num w:numId="34" w16cid:durableId="1266886544">
    <w:abstractNumId w:val="5"/>
  </w:num>
  <w:num w:numId="35" w16cid:durableId="209536790">
    <w:abstractNumId w:val="4"/>
  </w:num>
  <w:num w:numId="36" w16cid:durableId="1666199611">
    <w:abstractNumId w:val="8"/>
  </w:num>
  <w:num w:numId="37" w16cid:durableId="46997768">
    <w:abstractNumId w:val="3"/>
  </w:num>
  <w:num w:numId="38" w16cid:durableId="1621764973">
    <w:abstractNumId w:val="2"/>
  </w:num>
  <w:num w:numId="39" w16cid:durableId="956132903">
    <w:abstractNumId w:val="1"/>
  </w:num>
  <w:num w:numId="40" w16cid:durableId="737676266">
    <w:abstractNumId w:val="0"/>
  </w:num>
  <w:num w:numId="41" w16cid:durableId="1872036723">
    <w:abstractNumId w:val="10"/>
  </w:num>
  <w:num w:numId="42" w16cid:durableId="926039276">
    <w:abstractNumId w:val="10"/>
  </w:num>
  <w:num w:numId="43" w16cid:durableId="624890320">
    <w:abstractNumId w:val="10"/>
  </w:num>
  <w:num w:numId="44" w16cid:durableId="19818822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5"/>
    <w:docVar w:name="dvlangue" w:val="BG"/>
    <w:docVar w:name="dvnumam" w:val="0"/>
    <w:docVar w:name="dvpe" w:val="778.026"/>
    <w:docVar w:name="dvrapporteur" w:val="Докладчик: "/>
    <w:docVar w:name="dvstar" w:val="***"/>
    <w:docVar w:name="dvtitre" w:val="Законодателна резолюция на Европейския парламент от ... 2025 г. относно проекта на решение на Съвета относно оттеглянето на Европейския съюз от Международната група за изследване на каучука (МГИК)(11951/2025 – C10-0208/2025 – 2017/0159(NLE))"/>
  </w:docVars>
  <w:rsids>
    <w:rsidRoot w:val="0007134C"/>
    <w:rsid w:val="00002272"/>
    <w:rsid w:val="00064002"/>
    <w:rsid w:val="000677B9"/>
    <w:rsid w:val="0007134C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0B7B"/>
    <w:rsid w:val="00343214"/>
    <w:rsid w:val="00361C00"/>
    <w:rsid w:val="00395FA1"/>
    <w:rsid w:val="003E15D4"/>
    <w:rsid w:val="0040132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17FA"/>
    <w:rsid w:val="006631B6"/>
    <w:rsid w:val="00680577"/>
    <w:rsid w:val="006E5285"/>
    <w:rsid w:val="006F74FA"/>
    <w:rsid w:val="00731ADD"/>
    <w:rsid w:val="00734777"/>
    <w:rsid w:val="00747932"/>
    <w:rsid w:val="00751A4A"/>
    <w:rsid w:val="00756632"/>
    <w:rsid w:val="00762C74"/>
    <w:rsid w:val="00786EC0"/>
    <w:rsid w:val="007C3DE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699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774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C1B367"/>
  <w15:chartTrackingRefBased/>
  <w15:docId w15:val="{AE6EF861-51F9-4B1C-9B3A-B9464A108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C7742"/>
    <w:pPr>
      <w:spacing w:before="480" w:after="240"/>
    </w:pPr>
  </w:style>
  <w:style w:type="paragraph" w:customStyle="1" w:styleId="NormalBold">
    <w:name w:val="NormalBold"/>
    <w:basedOn w:val="Normal"/>
    <w:rsid w:val="00BC7742"/>
    <w:rPr>
      <w:b/>
    </w:rPr>
  </w:style>
  <w:style w:type="paragraph" w:customStyle="1" w:styleId="NormalHanging12a">
    <w:name w:val="NormalHanging12a"/>
    <w:basedOn w:val="Normal"/>
    <w:rsid w:val="00BC7742"/>
    <w:pPr>
      <w:spacing w:after="240"/>
      <w:ind w:left="567" w:hanging="567"/>
    </w:pPr>
  </w:style>
  <w:style w:type="character" w:styleId="Hyperlink">
    <w:name w:val="Hyperlink"/>
    <w:basedOn w:val="DefaultParagraphFont"/>
    <w:rsid w:val="00BC774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C3DEB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statute/2011/10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2025-10-08T12:36:00Z</dcterms:created>
  <dcterms:modified xsi:type="dcterms:W3CDTF">2025-10-08T12:36:00Z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A10-0186/2025</vt:lpwstr>
  </property>
  <property fmtid="{D5CDD505-2E9C-101B-9397-08002B2CF9AE}" pid="4" name="&lt;Type&gt;">
    <vt:lpwstr>RR</vt:lpwstr>
  </property>
</Properties>
</file>