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C9E" w14:paraId="5CBA81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9243DB" w14:textId="77777777" w:rsidR="00751A4A" w:rsidRPr="00685C9E" w:rsidRDefault="00686D3E" w:rsidP="0010095E">
            <w:pPr>
              <w:pStyle w:val="EPName"/>
            </w:pPr>
            <w:r w:rsidRPr="00685C9E">
              <w:t>Parlement européen</w:t>
            </w:r>
          </w:p>
          <w:p w14:paraId="2741DCDC" w14:textId="77777777" w:rsidR="00751A4A" w:rsidRPr="00685C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C9E">
              <w:t>2024</w:t>
            </w:r>
            <w:r w:rsidR="00817416" w:rsidRPr="00685C9E">
              <w:t>-202</w:t>
            </w:r>
            <w:r w:rsidRPr="00685C9E">
              <w:t>9</w:t>
            </w:r>
          </w:p>
        </w:tc>
        <w:tc>
          <w:tcPr>
            <w:tcW w:w="2268" w:type="dxa"/>
            <w:shd w:val="clear" w:color="auto" w:fill="auto"/>
          </w:tcPr>
          <w:p w14:paraId="24C2B585" w14:textId="77777777" w:rsidR="00751A4A" w:rsidRPr="00685C9E" w:rsidRDefault="00187494" w:rsidP="0010095E">
            <w:pPr>
              <w:pStyle w:val="EPLogo"/>
            </w:pPr>
            <w:r w:rsidRPr="00685C9E">
              <w:rPr>
                <w:noProof/>
                <w:lang w:eastAsia="ja-JP"/>
              </w:rPr>
              <w:drawing>
                <wp:inline distT="0" distB="0" distL="0" distR="0" wp14:anchorId="742D426A" wp14:editId="0759DB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00201" w14:textId="77777777" w:rsidR="00D058B8" w:rsidRPr="00685C9E" w:rsidRDefault="00D058B8" w:rsidP="004C5D52">
      <w:pPr>
        <w:pStyle w:val="LineTop"/>
      </w:pPr>
    </w:p>
    <w:p w14:paraId="5329D21B" w14:textId="77777777" w:rsidR="00680577" w:rsidRPr="00685C9E" w:rsidRDefault="00686D3E" w:rsidP="00680577">
      <w:pPr>
        <w:pStyle w:val="EPBodyTA1"/>
      </w:pPr>
      <w:r w:rsidRPr="00685C9E">
        <w:t>TEXTES ADOPTÉS</w:t>
      </w:r>
    </w:p>
    <w:p w14:paraId="066E2576" w14:textId="77777777" w:rsidR="00D058B8" w:rsidRPr="00685C9E" w:rsidRDefault="00D058B8" w:rsidP="00D058B8">
      <w:pPr>
        <w:pStyle w:val="LineBottom"/>
      </w:pPr>
    </w:p>
    <w:p w14:paraId="4A9FD691" w14:textId="3A051462" w:rsidR="00686D3E" w:rsidRPr="00685C9E" w:rsidRDefault="00686D3E" w:rsidP="00686D3E">
      <w:pPr>
        <w:pStyle w:val="ATHeading1"/>
      </w:pPr>
      <w:bookmarkStart w:id="0" w:name="TANumber"/>
      <w:r w:rsidRPr="00685C9E">
        <w:t>P10_TA(2025)</w:t>
      </w:r>
      <w:bookmarkEnd w:id="0"/>
      <w:r w:rsidR="00043CA4" w:rsidRPr="00685C9E">
        <w:t>0</w:t>
      </w:r>
      <w:r w:rsidR="00043CA4">
        <w:t>216</w:t>
      </w:r>
    </w:p>
    <w:p w14:paraId="70F74314" w14:textId="1B34FEEF" w:rsidR="00686D3E" w:rsidRPr="00685C9E" w:rsidRDefault="00A6228B" w:rsidP="00686D3E">
      <w:pPr>
        <w:pStyle w:val="ATHeading2"/>
      </w:pPr>
      <w:bookmarkStart w:id="1" w:name="title"/>
      <w:r w:rsidRPr="00A6228B">
        <w:rPr>
          <w:bCs/>
        </w:rPr>
        <w:t>Retrait de l'Union européenne du Groupe international d'études du caoutchouc (GIEC)</w:t>
      </w:r>
      <w:bookmarkEnd w:id="1"/>
    </w:p>
    <w:p w14:paraId="58D53E44" w14:textId="77777777" w:rsidR="00686D3E" w:rsidRPr="00685C9E" w:rsidRDefault="00686D3E" w:rsidP="00686D3E">
      <w:pPr>
        <w:rPr>
          <w:i/>
          <w:vanish/>
        </w:rPr>
      </w:pPr>
      <w:r w:rsidRPr="00685C9E">
        <w:rPr>
          <w:i/>
        </w:rPr>
        <w:fldChar w:fldCharType="begin"/>
      </w:r>
      <w:r w:rsidRPr="00685C9E">
        <w:rPr>
          <w:i/>
        </w:rPr>
        <w:instrText xml:space="preserve"> TC"(</w:instrText>
      </w:r>
      <w:bookmarkStart w:id="2" w:name="DocNumber"/>
      <w:r w:rsidRPr="00685C9E">
        <w:rPr>
          <w:i/>
        </w:rPr>
        <w:instrText>A10-0186/2025</w:instrText>
      </w:r>
      <w:bookmarkEnd w:id="2"/>
      <w:r w:rsidRPr="00685C9E">
        <w:rPr>
          <w:i/>
        </w:rPr>
        <w:instrText xml:space="preserve"> - Rapporteur: Bernd Lange)"\l3 \n&gt; \* MERGEFORMAT </w:instrText>
      </w:r>
      <w:r w:rsidRPr="00685C9E">
        <w:rPr>
          <w:i/>
        </w:rPr>
        <w:fldChar w:fldCharType="end"/>
      </w:r>
    </w:p>
    <w:p w14:paraId="07C2950B" w14:textId="77777777" w:rsidR="00686D3E" w:rsidRPr="00685C9E" w:rsidRDefault="00686D3E" w:rsidP="00686D3E">
      <w:pPr>
        <w:rPr>
          <w:vanish/>
        </w:rPr>
      </w:pPr>
      <w:bookmarkStart w:id="3" w:name="Commission"/>
      <w:r w:rsidRPr="00685C9E">
        <w:rPr>
          <w:vanish/>
        </w:rPr>
        <w:t>Commission du commerce international</w:t>
      </w:r>
      <w:bookmarkEnd w:id="3"/>
    </w:p>
    <w:p w14:paraId="4EDC6E68" w14:textId="77777777" w:rsidR="00686D3E" w:rsidRPr="00685C9E" w:rsidRDefault="00686D3E" w:rsidP="00686D3E">
      <w:pPr>
        <w:rPr>
          <w:vanish/>
        </w:rPr>
      </w:pPr>
      <w:bookmarkStart w:id="4" w:name="PE"/>
      <w:r w:rsidRPr="00685C9E">
        <w:rPr>
          <w:vanish/>
        </w:rPr>
        <w:t>PE778.026</w:t>
      </w:r>
      <w:bookmarkEnd w:id="4"/>
    </w:p>
    <w:p w14:paraId="79847A72" w14:textId="6FEBC3C6" w:rsidR="00686D3E" w:rsidRPr="00685C9E" w:rsidRDefault="00686D3E" w:rsidP="00686D3E">
      <w:pPr>
        <w:pStyle w:val="ATHeading3"/>
      </w:pPr>
      <w:bookmarkStart w:id="5" w:name="Sujet"/>
      <w:r w:rsidRPr="00685C9E">
        <w:t xml:space="preserve">Résolution législative du Parlement européen du </w:t>
      </w:r>
      <w:r w:rsidR="00A6228B">
        <w:t>8 octobre</w:t>
      </w:r>
      <w:r w:rsidR="00A6228B" w:rsidRPr="00685C9E">
        <w:t xml:space="preserve"> </w:t>
      </w:r>
      <w:r w:rsidRPr="00685C9E">
        <w:t>2025 sur le projet de décision du Conseil concernant le retrait de l’Union européenne du Groupe international d’études du caoutchouc (GIEC)</w:t>
      </w:r>
      <w:bookmarkEnd w:id="5"/>
      <w:r w:rsidRPr="00685C9E">
        <w:t xml:space="preserve"> </w:t>
      </w:r>
      <w:bookmarkStart w:id="6" w:name="References"/>
      <w:r w:rsidRPr="00685C9E">
        <w:t>(11951/2025 – C10-0208/2025 – 2017/0159(NLE))</w:t>
      </w:r>
      <w:bookmarkEnd w:id="6"/>
    </w:p>
    <w:p w14:paraId="6A5A727B" w14:textId="77777777" w:rsidR="00686D3E" w:rsidRPr="00685C9E" w:rsidRDefault="00686D3E" w:rsidP="00686D3E"/>
    <w:p w14:paraId="3F0D3F9B" w14:textId="77777777" w:rsidR="00F115B0" w:rsidRPr="00685C9E" w:rsidRDefault="00F115B0" w:rsidP="00F115B0">
      <w:pPr>
        <w:pStyle w:val="NormalBold"/>
      </w:pPr>
      <w:bookmarkStart w:id="7" w:name="TextBodyBegin"/>
      <w:bookmarkEnd w:id="7"/>
      <w:r w:rsidRPr="00685C9E">
        <w:t>(Approbation)</w:t>
      </w:r>
    </w:p>
    <w:p w14:paraId="7A4DEF34" w14:textId="77777777" w:rsidR="00F115B0" w:rsidRPr="00685C9E" w:rsidRDefault="00F115B0" w:rsidP="00F115B0">
      <w:pPr>
        <w:pStyle w:val="EPComma"/>
      </w:pPr>
      <w:r w:rsidRPr="00685C9E">
        <w:rPr>
          <w:i/>
        </w:rPr>
        <w:t>Le Parlement européen</w:t>
      </w:r>
      <w:r w:rsidRPr="00685C9E">
        <w:t>,</w:t>
      </w:r>
    </w:p>
    <w:p w14:paraId="1ADE8C30" w14:textId="77777777" w:rsidR="00F115B0" w:rsidRPr="00685C9E" w:rsidRDefault="00F115B0" w:rsidP="00F115B0">
      <w:pPr>
        <w:pStyle w:val="NormalHanging12a"/>
      </w:pPr>
      <w:r w:rsidRPr="00685C9E">
        <w:t>–</w:t>
      </w:r>
      <w:r w:rsidRPr="00685C9E">
        <w:tab/>
        <w:t>vu le projet de décision du Conseil (11951/2025),</w:t>
      </w:r>
    </w:p>
    <w:p w14:paraId="66B4CF4C" w14:textId="77777777" w:rsidR="00F115B0" w:rsidRPr="00685C9E" w:rsidRDefault="00F115B0" w:rsidP="00F115B0">
      <w:pPr>
        <w:pStyle w:val="NormalHanging12a"/>
      </w:pPr>
      <w:r w:rsidRPr="00685C9E">
        <w:t>–</w:t>
      </w:r>
      <w:r w:rsidRPr="00685C9E">
        <w:tab/>
        <w:t>vu les statuts du Groupe international d’études du caoutchouc</w:t>
      </w:r>
      <w:r w:rsidRPr="00685C9E">
        <w:rPr>
          <w:vertAlign w:val="superscript"/>
        </w:rPr>
        <w:footnoteReference w:id="1"/>
      </w:r>
      <w:r w:rsidRPr="00685C9E">
        <w:t xml:space="preserve">, et notamment l’article XVI, paragraphe 3, </w:t>
      </w:r>
    </w:p>
    <w:p w14:paraId="418189D9" w14:textId="77777777" w:rsidR="00F115B0" w:rsidRPr="00685C9E" w:rsidRDefault="00F115B0" w:rsidP="00F115B0">
      <w:pPr>
        <w:pStyle w:val="NormalHanging12a"/>
      </w:pPr>
      <w:r w:rsidRPr="00685C9E">
        <w:t>–</w:t>
      </w:r>
      <w:r w:rsidRPr="00685C9E">
        <w:tab/>
        <w:t>vu la demande d’approbation présentée par le Conseil conformément à l’article 207, paragraphe 4, premier alinéa, et à l’article 218, paragraphe 6, deuxième alinéa, point a) v), du traité sur le fonctionnement de l’Union européenne (C10</w:t>
      </w:r>
      <w:r w:rsidRPr="00685C9E">
        <w:noBreakHyphen/>
        <w:t>0208/2025),</w:t>
      </w:r>
    </w:p>
    <w:p w14:paraId="2192319C" w14:textId="77777777" w:rsidR="00F115B0" w:rsidRPr="00685C9E" w:rsidRDefault="00F115B0" w:rsidP="00F115B0">
      <w:pPr>
        <w:pStyle w:val="NormalHanging12a"/>
      </w:pPr>
      <w:r w:rsidRPr="00685C9E">
        <w:t>–</w:t>
      </w:r>
      <w:r w:rsidRPr="00685C9E">
        <w:tab/>
        <w:t>vu l’article 107, paragraphes 1 et 4, ainsi que l’article 117, paragraphe 7, de son règlement intérieur,</w:t>
      </w:r>
    </w:p>
    <w:p w14:paraId="0085F71B" w14:textId="77777777" w:rsidR="00F115B0" w:rsidRPr="00685C9E" w:rsidRDefault="00F115B0" w:rsidP="00F115B0">
      <w:pPr>
        <w:pStyle w:val="NormalHanging12a"/>
      </w:pPr>
      <w:r w:rsidRPr="00685C9E">
        <w:t>–</w:t>
      </w:r>
      <w:r w:rsidRPr="00685C9E">
        <w:tab/>
        <w:t>vu la recommandation de la commission du commerce international (A10-0186/2025),</w:t>
      </w:r>
    </w:p>
    <w:p w14:paraId="2E657A96" w14:textId="77777777" w:rsidR="00F115B0" w:rsidRPr="00685C9E" w:rsidRDefault="00F115B0" w:rsidP="00F115B0">
      <w:pPr>
        <w:pStyle w:val="NormalHanging12a"/>
      </w:pPr>
      <w:r w:rsidRPr="00685C9E">
        <w:t>1.</w:t>
      </w:r>
      <w:r w:rsidRPr="00685C9E">
        <w:tab/>
        <w:t>donne son approbation au retrait de l’Union européenne du Groupe international d’études du caoutchouc (GIEC</w:t>
      </w:r>
      <w:proofErr w:type="gramStart"/>
      <w:r w:rsidRPr="00685C9E">
        <w:t>);</w:t>
      </w:r>
      <w:proofErr w:type="gramEnd"/>
    </w:p>
    <w:p w14:paraId="061C93AE" w14:textId="5ADCF111" w:rsidR="00685C9E" w:rsidRPr="00685C9E" w:rsidRDefault="00F115B0" w:rsidP="00685C9E">
      <w:pPr>
        <w:pStyle w:val="NormalHanging12a"/>
      </w:pPr>
      <w:r w:rsidRPr="00685C9E">
        <w:t>2.</w:t>
      </w:r>
      <w:r w:rsidRPr="00685C9E">
        <w:tab/>
        <w:t>charge sa Présidente de transmettre la position du Parlement au Conseil et à la Commission, ainsi qu’aux gouvernements et aux parlements des États membres et au secrétariat du Groupe international d’études du caoutchouc.</w:t>
      </w:r>
    </w:p>
    <w:p w14:paraId="70138812" w14:textId="5985C3F4" w:rsidR="00E365E1" w:rsidRPr="00685C9E" w:rsidRDefault="00E365E1" w:rsidP="00686D3E"/>
    <w:sectPr w:rsidR="00E365E1" w:rsidRPr="00685C9E" w:rsidSect="00685C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79CF9" w14:textId="77777777" w:rsidR="00686D3E" w:rsidRPr="00685C9E" w:rsidRDefault="00686D3E">
      <w:r w:rsidRPr="00685C9E">
        <w:separator/>
      </w:r>
    </w:p>
  </w:endnote>
  <w:endnote w:type="continuationSeparator" w:id="0">
    <w:p w14:paraId="5CC9EC18" w14:textId="77777777" w:rsidR="00686D3E" w:rsidRPr="00685C9E" w:rsidRDefault="00686D3E">
      <w:r w:rsidRPr="00685C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C137" w14:textId="77777777" w:rsidR="00064002" w:rsidRPr="00685C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46C0A" w14:textId="77777777" w:rsidR="00064002" w:rsidRPr="00685C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A067" w14:textId="77777777" w:rsidR="00064002" w:rsidRPr="00685C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559D9" w14:textId="77777777" w:rsidR="00686D3E" w:rsidRPr="00685C9E" w:rsidRDefault="00686D3E">
      <w:r w:rsidRPr="00685C9E">
        <w:separator/>
      </w:r>
    </w:p>
  </w:footnote>
  <w:footnote w:type="continuationSeparator" w:id="0">
    <w:p w14:paraId="4C4EBD59" w14:textId="77777777" w:rsidR="00686D3E" w:rsidRPr="00685C9E" w:rsidRDefault="00686D3E">
      <w:r w:rsidRPr="00685C9E">
        <w:continuationSeparator/>
      </w:r>
    </w:p>
  </w:footnote>
  <w:footnote w:id="1">
    <w:p w14:paraId="4AC723FC" w14:textId="2362725A" w:rsidR="00F115B0" w:rsidRPr="00043CA4" w:rsidRDefault="00F115B0" w:rsidP="00685C9E">
      <w:pPr>
        <w:pStyle w:val="FootnoteText"/>
        <w:ind w:left="567" w:hanging="567"/>
        <w:rPr>
          <w:sz w:val="24"/>
          <w:lang w:val="fi-FI"/>
        </w:rPr>
      </w:pPr>
      <w:r w:rsidRPr="00685C9E">
        <w:rPr>
          <w:rStyle w:val="FootnoteReference"/>
          <w:sz w:val="24"/>
        </w:rPr>
        <w:footnoteRef/>
      </w:r>
      <w:r w:rsidR="00685C9E" w:rsidRPr="00043CA4">
        <w:rPr>
          <w:sz w:val="24"/>
          <w:lang w:val="fi-FI"/>
        </w:rPr>
        <w:t xml:space="preserve"> </w:t>
      </w:r>
      <w:r w:rsidR="00685C9E" w:rsidRPr="00043CA4">
        <w:rPr>
          <w:sz w:val="24"/>
          <w:lang w:val="fi-FI"/>
        </w:rPr>
        <w:tab/>
      </w:r>
      <w:r w:rsidRPr="00043CA4">
        <w:rPr>
          <w:sz w:val="24"/>
          <w:lang w:val="fi-FI"/>
        </w:rPr>
        <w:t xml:space="preserve">JO L 264 du 8.10.2011, p. 14, ELI: </w:t>
      </w:r>
      <w:hyperlink r:id="rId1" w:history="1">
        <w:r w:rsidRPr="00043CA4">
          <w:rPr>
            <w:rStyle w:val="Hyperlink"/>
            <w:sz w:val="24"/>
            <w:lang w:val="fi-FI"/>
          </w:rPr>
          <w:t>http://data.europa.eu/eli/statute/2011/1008/oj</w:t>
        </w:r>
      </w:hyperlink>
      <w:r w:rsidRPr="00043CA4">
        <w:rPr>
          <w:sz w:val="24"/>
          <w:lang w:val="fi-F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4B885" w14:textId="77777777" w:rsidR="00064002" w:rsidRPr="00685C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C5A04" w14:textId="77777777" w:rsidR="00064002" w:rsidRPr="00685C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AF25F" w14:textId="77777777" w:rsidR="00064002" w:rsidRPr="00685C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300866">
    <w:abstractNumId w:val="9"/>
  </w:num>
  <w:num w:numId="2" w16cid:durableId="12999389">
    <w:abstractNumId w:val="9"/>
  </w:num>
  <w:num w:numId="3" w16cid:durableId="28999204">
    <w:abstractNumId w:val="7"/>
  </w:num>
  <w:num w:numId="4" w16cid:durableId="784348780">
    <w:abstractNumId w:val="7"/>
  </w:num>
  <w:num w:numId="5" w16cid:durableId="1912349870">
    <w:abstractNumId w:val="6"/>
  </w:num>
  <w:num w:numId="6" w16cid:durableId="504637794">
    <w:abstractNumId w:val="6"/>
  </w:num>
  <w:num w:numId="7" w16cid:durableId="1092551813">
    <w:abstractNumId w:val="5"/>
  </w:num>
  <w:num w:numId="8" w16cid:durableId="478108241">
    <w:abstractNumId w:val="5"/>
  </w:num>
  <w:num w:numId="9" w16cid:durableId="1996838010">
    <w:abstractNumId w:val="4"/>
  </w:num>
  <w:num w:numId="10" w16cid:durableId="1449202322">
    <w:abstractNumId w:val="4"/>
  </w:num>
  <w:num w:numId="11" w16cid:durableId="937906145">
    <w:abstractNumId w:val="8"/>
  </w:num>
  <w:num w:numId="12" w16cid:durableId="820005738">
    <w:abstractNumId w:val="8"/>
  </w:num>
  <w:num w:numId="13" w16cid:durableId="1997537715">
    <w:abstractNumId w:val="3"/>
  </w:num>
  <w:num w:numId="14" w16cid:durableId="1491753606">
    <w:abstractNumId w:val="3"/>
  </w:num>
  <w:num w:numId="15" w16cid:durableId="1226064175">
    <w:abstractNumId w:val="2"/>
  </w:num>
  <w:num w:numId="16" w16cid:durableId="1654479466">
    <w:abstractNumId w:val="2"/>
  </w:num>
  <w:num w:numId="17" w16cid:durableId="1660764898">
    <w:abstractNumId w:val="1"/>
  </w:num>
  <w:num w:numId="18" w16cid:durableId="932324842">
    <w:abstractNumId w:val="1"/>
  </w:num>
  <w:num w:numId="19" w16cid:durableId="1130245061">
    <w:abstractNumId w:val="0"/>
  </w:num>
  <w:num w:numId="20" w16cid:durableId="1122965112">
    <w:abstractNumId w:val="0"/>
  </w:num>
  <w:num w:numId="21" w16cid:durableId="1634213104">
    <w:abstractNumId w:val="9"/>
  </w:num>
  <w:num w:numId="22" w16cid:durableId="1782455149">
    <w:abstractNumId w:val="7"/>
  </w:num>
  <w:num w:numId="23" w16cid:durableId="190454703">
    <w:abstractNumId w:val="6"/>
  </w:num>
  <w:num w:numId="24" w16cid:durableId="483397357">
    <w:abstractNumId w:val="5"/>
  </w:num>
  <w:num w:numId="25" w16cid:durableId="1876233410">
    <w:abstractNumId w:val="4"/>
  </w:num>
  <w:num w:numId="26" w16cid:durableId="316610186">
    <w:abstractNumId w:val="8"/>
  </w:num>
  <w:num w:numId="27" w16cid:durableId="1311442132">
    <w:abstractNumId w:val="3"/>
  </w:num>
  <w:num w:numId="28" w16cid:durableId="72549579">
    <w:abstractNumId w:val="2"/>
  </w:num>
  <w:num w:numId="29" w16cid:durableId="1156529452">
    <w:abstractNumId w:val="1"/>
  </w:num>
  <w:num w:numId="30" w16cid:durableId="980764735">
    <w:abstractNumId w:val="0"/>
  </w:num>
  <w:num w:numId="31" w16cid:durableId="1381514536">
    <w:abstractNumId w:val="9"/>
  </w:num>
  <w:num w:numId="32" w16cid:durableId="1740976584">
    <w:abstractNumId w:val="7"/>
  </w:num>
  <w:num w:numId="33" w16cid:durableId="541284282">
    <w:abstractNumId w:val="6"/>
  </w:num>
  <w:num w:numId="34" w16cid:durableId="1515221134">
    <w:abstractNumId w:val="5"/>
  </w:num>
  <w:num w:numId="35" w16cid:durableId="1216041241">
    <w:abstractNumId w:val="4"/>
  </w:num>
  <w:num w:numId="36" w16cid:durableId="603925834">
    <w:abstractNumId w:val="8"/>
  </w:num>
  <w:num w:numId="37" w16cid:durableId="786461295">
    <w:abstractNumId w:val="3"/>
  </w:num>
  <w:num w:numId="38" w16cid:durableId="1184981238">
    <w:abstractNumId w:val="2"/>
  </w:num>
  <w:num w:numId="39" w16cid:durableId="1443912256">
    <w:abstractNumId w:val="1"/>
  </w:num>
  <w:num w:numId="40" w16cid:durableId="1815634955">
    <w:abstractNumId w:val="0"/>
  </w:num>
  <w:num w:numId="41" w16cid:durableId="1124889437">
    <w:abstractNumId w:val="10"/>
  </w:num>
  <w:num w:numId="42" w16cid:durableId="1416441558">
    <w:abstractNumId w:val="10"/>
  </w:num>
  <w:num w:numId="43" w16cid:durableId="430666608">
    <w:abstractNumId w:val="10"/>
  </w:num>
  <w:num w:numId="44" w16cid:durableId="84496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FR"/>
    <w:docVar w:name="dvnumam" w:val="0"/>
    <w:docVar w:name="dvpe" w:val="778.026"/>
    <w:docVar w:name="dvrapporteur" w:val="Rapporteur: "/>
    <w:docVar w:name="dvstar" w:val="***"/>
    <w:docVar w:name="dvtitre" w:val="Résolution législative du Parlement européen du ... 2025 sur le projet de décision du Conseil concernant le retrait de l’Union européenne du Groupe international d’études du caoutchouc (GIEC)(11951/2025 – C10-0208/2025 – 2017/0159(NLE))"/>
  </w:docVars>
  <w:rsids>
    <w:rsidRoot w:val="00686D3E"/>
    <w:rsid w:val="00002272"/>
    <w:rsid w:val="00043CA4"/>
    <w:rsid w:val="00064002"/>
    <w:rsid w:val="000677B9"/>
    <w:rsid w:val="000831BA"/>
    <w:rsid w:val="000A42CC"/>
    <w:rsid w:val="000E7DD9"/>
    <w:rsid w:val="0010095E"/>
    <w:rsid w:val="00125B37"/>
    <w:rsid w:val="0014224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C9E"/>
    <w:rsid w:val="00686D3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37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28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5B0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8AAED"/>
  <w15:chartTrackingRefBased/>
  <w15:docId w15:val="{89978E94-F93E-42C1-B344-367B1428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115B0"/>
    <w:pPr>
      <w:spacing w:before="480" w:after="240"/>
    </w:pPr>
  </w:style>
  <w:style w:type="paragraph" w:customStyle="1" w:styleId="NormalBold">
    <w:name w:val="NormalBold"/>
    <w:basedOn w:val="Normal"/>
    <w:rsid w:val="00F115B0"/>
    <w:rPr>
      <w:b/>
    </w:rPr>
  </w:style>
  <w:style w:type="paragraph" w:customStyle="1" w:styleId="NormalHanging12a">
    <w:name w:val="NormalHanging12a"/>
    <w:basedOn w:val="Normal"/>
    <w:rsid w:val="00F115B0"/>
    <w:pPr>
      <w:spacing w:after="240"/>
      <w:ind w:left="567" w:hanging="567"/>
    </w:pPr>
  </w:style>
  <w:style w:type="character" w:styleId="Hyperlink">
    <w:name w:val="Hyperlink"/>
    <w:basedOn w:val="DefaultParagraphFont"/>
    <w:rsid w:val="00F115B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6228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MAGHOUZ Yousra</cp:lastModifiedBy>
  <cp:revision>2</cp:revision>
  <cp:lastPrinted>2004-11-19T15:42:00Z</cp:lastPrinted>
  <dcterms:created xsi:type="dcterms:W3CDTF">2025-10-08T11:23:00Z</dcterms:created>
  <dcterms:modified xsi:type="dcterms:W3CDTF">2025-10-08T11:23:00Z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