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22EB" w14:paraId="22C1AD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EA4EC9" w14:textId="77777777" w:rsidR="00751A4A" w:rsidRPr="00F822EB" w:rsidRDefault="00C51EEA" w:rsidP="0010095E">
            <w:pPr>
              <w:pStyle w:val="EPName"/>
            </w:pPr>
            <w:r w:rsidRPr="00F822EB">
              <w:t>Europski parlament</w:t>
            </w:r>
          </w:p>
          <w:p w14:paraId="35DD311D" w14:textId="77777777" w:rsidR="00751A4A" w:rsidRPr="00F822E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22EB">
              <w:t>2024</w:t>
            </w:r>
            <w:r w:rsidR="00817416" w:rsidRPr="00F822EB">
              <w:t>-202</w:t>
            </w:r>
            <w:r w:rsidRPr="00F822EB">
              <w:t>9</w:t>
            </w:r>
          </w:p>
        </w:tc>
        <w:tc>
          <w:tcPr>
            <w:tcW w:w="2268" w:type="dxa"/>
            <w:shd w:val="clear" w:color="auto" w:fill="auto"/>
          </w:tcPr>
          <w:p w14:paraId="01B1F2F1" w14:textId="77777777" w:rsidR="00751A4A" w:rsidRPr="00F822EB" w:rsidRDefault="00187494" w:rsidP="0010095E">
            <w:pPr>
              <w:pStyle w:val="EPLogo"/>
            </w:pPr>
            <w:r w:rsidRPr="00F822EB">
              <w:rPr>
                <w:noProof/>
                <w:lang w:eastAsia="ja-JP"/>
              </w:rPr>
              <w:drawing>
                <wp:inline distT="0" distB="0" distL="0" distR="0" wp14:anchorId="2100FF60" wp14:editId="3E51D34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174566" w14:textId="77777777" w:rsidR="00D058B8" w:rsidRPr="00F822EB" w:rsidRDefault="00D058B8" w:rsidP="004C5D52">
      <w:pPr>
        <w:pStyle w:val="LineTop"/>
      </w:pPr>
    </w:p>
    <w:p w14:paraId="46CE4DD2" w14:textId="77777777" w:rsidR="00680577" w:rsidRPr="00F822EB" w:rsidRDefault="00C51EEA" w:rsidP="00680577">
      <w:pPr>
        <w:pStyle w:val="EPBodyTA1"/>
      </w:pPr>
      <w:r w:rsidRPr="00F822EB">
        <w:t>USVOJENI TEKSTOVI</w:t>
      </w:r>
    </w:p>
    <w:p w14:paraId="738C3D30" w14:textId="77777777" w:rsidR="00D058B8" w:rsidRPr="00F822EB" w:rsidRDefault="00D058B8" w:rsidP="00D058B8">
      <w:pPr>
        <w:pStyle w:val="LineBottom"/>
      </w:pPr>
    </w:p>
    <w:p w14:paraId="66145AB6" w14:textId="19D29431" w:rsidR="00C51EEA" w:rsidRPr="00F822EB" w:rsidRDefault="00C51EEA" w:rsidP="00C51EEA">
      <w:pPr>
        <w:pStyle w:val="ATHeading1"/>
      </w:pPr>
      <w:bookmarkStart w:id="0" w:name="TANumber"/>
      <w:r w:rsidRPr="00F822EB">
        <w:t>P10_TA(2025)0</w:t>
      </w:r>
      <w:bookmarkEnd w:id="0"/>
      <w:r w:rsidR="009C5244">
        <w:t>216</w:t>
      </w:r>
    </w:p>
    <w:p w14:paraId="35E8F71F" w14:textId="0B6B031B" w:rsidR="00C51EEA" w:rsidRPr="00F822EB" w:rsidRDefault="009A46C8" w:rsidP="00C51EEA">
      <w:pPr>
        <w:pStyle w:val="ATHeading2"/>
      </w:pPr>
      <w:bookmarkStart w:id="1" w:name="title"/>
      <w:r>
        <w:t>P</w:t>
      </w:r>
      <w:r w:rsidRPr="009A46C8">
        <w:t>ovlačenj</w:t>
      </w:r>
      <w:r>
        <w:t>e</w:t>
      </w:r>
      <w:r w:rsidRPr="009A46C8">
        <w:t xml:space="preserve"> Europske unije iz Međunarodne studijske skupine za kaučuk</w:t>
      </w:r>
      <w:bookmarkEnd w:id="1"/>
      <w:r>
        <w:t xml:space="preserve"> </w:t>
      </w:r>
      <w:r w:rsidRPr="009A46C8">
        <w:t xml:space="preserve">(IRSG) </w:t>
      </w:r>
    </w:p>
    <w:p w14:paraId="455D3588" w14:textId="77777777" w:rsidR="00C51EEA" w:rsidRPr="00F822EB" w:rsidRDefault="00C51EEA" w:rsidP="00C51EEA">
      <w:pPr>
        <w:rPr>
          <w:i/>
          <w:vanish/>
        </w:rPr>
      </w:pPr>
      <w:r w:rsidRPr="00F822EB">
        <w:rPr>
          <w:i/>
        </w:rPr>
        <w:fldChar w:fldCharType="begin"/>
      </w:r>
      <w:r w:rsidRPr="00F822EB">
        <w:rPr>
          <w:i/>
        </w:rPr>
        <w:instrText xml:space="preserve"> TC"(</w:instrText>
      </w:r>
      <w:bookmarkStart w:id="2" w:name="DocNumber"/>
      <w:r w:rsidRPr="00F822EB">
        <w:rPr>
          <w:i/>
        </w:rPr>
        <w:instrText>A10-0186/2025</w:instrText>
      </w:r>
      <w:bookmarkEnd w:id="2"/>
      <w:r w:rsidRPr="00F822EB">
        <w:rPr>
          <w:i/>
        </w:rPr>
        <w:instrText xml:space="preserve"> - Izvjestitelj: Bernd Lange)"\l3 \n&gt; \* MERGEFORMAT </w:instrText>
      </w:r>
      <w:r w:rsidRPr="00F822EB">
        <w:rPr>
          <w:i/>
        </w:rPr>
        <w:fldChar w:fldCharType="end"/>
      </w:r>
    </w:p>
    <w:p w14:paraId="23DB7102" w14:textId="77777777" w:rsidR="00C51EEA" w:rsidRPr="00F822EB" w:rsidRDefault="00C51EEA" w:rsidP="00C51EEA">
      <w:pPr>
        <w:rPr>
          <w:vanish/>
        </w:rPr>
      </w:pPr>
      <w:bookmarkStart w:id="3" w:name="Commission"/>
      <w:r w:rsidRPr="00F822EB">
        <w:rPr>
          <w:vanish/>
        </w:rPr>
        <w:t>Odbor za međunarodnu trgovinu</w:t>
      </w:r>
      <w:bookmarkEnd w:id="3"/>
    </w:p>
    <w:p w14:paraId="348B21F5" w14:textId="77777777" w:rsidR="00C51EEA" w:rsidRPr="00F822EB" w:rsidRDefault="00C51EEA" w:rsidP="00C51EEA">
      <w:pPr>
        <w:rPr>
          <w:vanish/>
        </w:rPr>
      </w:pPr>
      <w:bookmarkStart w:id="4" w:name="PE"/>
      <w:r w:rsidRPr="00F822EB">
        <w:rPr>
          <w:vanish/>
        </w:rPr>
        <w:t>PE778.026</w:t>
      </w:r>
      <w:bookmarkEnd w:id="4"/>
    </w:p>
    <w:p w14:paraId="58A291BD" w14:textId="3AA2381C" w:rsidR="00C51EEA" w:rsidRPr="00F822EB" w:rsidRDefault="00C51EEA" w:rsidP="00C51EEA">
      <w:pPr>
        <w:pStyle w:val="ATHeading3"/>
      </w:pPr>
      <w:bookmarkStart w:id="5" w:name="Sujet"/>
      <w:r w:rsidRPr="00F822EB">
        <w:t xml:space="preserve">Zakonodavna rezolucija Europskog parlamenta od </w:t>
      </w:r>
      <w:r w:rsidR="00E27771">
        <w:t>8. listopada</w:t>
      </w:r>
      <w:r w:rsidRPr="00F822EB">
        <w:t xml:space="preserve"> 2025. o Prijedlogu odluke Vijeća o povlačenju Europske unije iz Međunarodne studijske skupine za kaučuk (IRSG)</w:t>
      </w:r>
      <w:bookmarkEnd w:id="5"/>
      <w:r w:rsidRPr="00F822EB">
        <w:t xml:space="preserve"> </w:t>
      </w:r>
      <w:bookmarkStart w:id="6" w:name="References"/>
      <w:r w:rsidRPr="00F822EB">
        <w:t>(11951/2025 – C10-0208/2025 – 2017/0159(NLE))</w:t>
      </w:r>
      <w:bookmarkEnd w:id="6"/>
    </w:p>
    <w:p w14:paraId="6FBDE26A" w14:textId="77777777" w:rsidR="00C51EEA" w:rsidRPr="00F822EB" w:rsidRDefault="00C51EEA" w:rsidP="00C51EEA"/>
    <w:p w14:paraId="43E0D9EB" w14:textId="77777777" w:rsidR="00064417" w:rsidRPr="00F822EB" w:rsidRDefault="00064417" w:rsidP="00064417">
      <w:pPr>
        <w:pStyle w:val="NormalBold"/>
      </w:pPr>
      <w:bookmarkStart w:id="7" w:name="TextBodyBegin"/>
      <w:bookmarkEnd w:id="7"/>
      <w:r w:rsidRPr="00F822EB">
        <w:t>(Suglasnost)</w:t>
      </w:r>
    </w:p>
    <w:p w14:paraId="2414D487" w14:textId="77777777" w:rsidR="00064417" w:rsidRPr="00F822EB" w:rsidRDefault="00064417" w:rsidP="00064417">
      <w:pPr>
        <w:pStyle w:val="EPComma"/>
      </w:pPr>
      <w:r w:rsidRPr="00F822EB">
        <w:rPr>
          <w:i/>
        </w:rPr>
        <w:t>Europski parlament</w:t>
      </w:r>
      <w:r w:rsidRPr="00F822EB">
        <w:t>,</w:t>
      </w:r>
    </w:p>
    <w:p w14:paraId="4E2A15CF" w14:textId="77777777" w:rsidR="00064417" w:rsidRPr="00F822EB" w:rsidRDefault="00064417" w:rsidP="00064417">
      <w:pPr>
        <w:pStyle w:val="NormalHanging12a"/>
      </w:pPr>
      <w:r w:rsidRPr="00F822EB">
        <w:t>–</w:t>
      </w:r>
      <w:r w:rsidRPr="00F822EB">
        <w:tab/>
        <w:t>uzimajući u obzir Prijedlog odluke Vijeća (11951/2025),</w:t>
      </w:r>
    </w:p>
    <w:p w14:paraId="3F938D13" w14:textId="77777777" w:rsidR="00064417" w:rsidRPr="00F822EB" w:rsidRDefault="00064417" w:rsidP="00064417">
      <w:pPr>
        <w:pStyle w:val="NormalHanging12a"/>
      </w:pPr>
      <w:r w:rsidRPr="00F822EB">
        <w:t>–</w:t>
      </w:r>
      <w:r w:rsidRPr="00F822EB">
        <w:tab/>
        <w:t>uzimajući u obzir Ustav Međunarodne studijske skupine za kaučuk</w:t>
      </w:r>
      <w:r w:rsidRPr="00F822EB">
        <w:rPr>
          <w:vertAlign w:val="superscript"/>
        </w:rPr>
        <w:footnoteReference w:id="1"/>
      </w:r>
      <w:r w:rsidRPr="00F822EB">
        <w:t xml:space="preserve">, a posebno njegov članak XVI. stavak 3., </w:t>
      </w:r>
    </w:p>
    <w:p w14:paraId="1A97FACE" w14:textId="77777777" w:rsidR="00064417" w:rsidRPr="00F822EB" w:rsidRDefault="00064417" w:rsidP="00064417">
      <w:pPr>
        <w:pStyle w:val="NormalHanging12a"/>
      </w:pPr>
      <w:r w:rsidRPr="00F822EB">
        <w:t>–</w:t>
      </w:r>
      <w:r w:rsidRPr="00F822EB">
        <w:tab/>
        <w:t xml:space="preserve">uzimajući u obzir zahtjev za davanje suglasnosti koji je Vijeće podnijelo u skladu s člankom 207. stavkom 4. prvim podstavkom i člankom 218. stavkom 6. drugim podstavkom točkom (a) </w:t>
      </w:r>
      <w:proofErr w:type="spellStart"/>
      <w:r w:rsidRPr="00F822EB">
        <w:t>podtočkom</w:t>
      </w:r>
      <w:proofErr w:type="spellEnd"/>
      <w:r w:rsidRPr="00F822EB">
        <w:t xml:space="preserve"> v. Ugovora o funkcioniranju Europske unije (C10</w:t>
      </w:r>
      <w:r w:rsidRPr="00F822EB">
        <w:noBreakHyphen/>
        <w:t>0208/2025),</w:t>
      </w:r>
    </w:p>
    <w:p w14:paraId="537D6FB3" w14:textId="77777777" w:rsidR="00064417" w:rsidRPr="00F822EB" w:rsidRDefault="00064417" w:rsidP="00064417">
      <w:pPr>
        <w:pStyle w:val="NormalHanging12a"/>
      </w:pPr>
      <w:r w:rsidRPr="00F822EB">
        <w:t>–</w:t>
      </w:r>
      <w:r w:rsidRPr="00F822EB">
        <w:tab/>
        <w:t>uzimajući u obzir članak 107. stavke 1. i 4. te članak 117. stavak 7. Poslovnika,</w:t>
      </w:r>
    </w:p>
    <w:p w14:paraId="0E330F15" w14:textId="77777777" w:rsidR="00064417" w:rsidRPr="00F822EB" w:rsidRDefault="00064417" w:rsidP="00064417">
      <w:pPr>
        <w:pStyle w:val="NormalHanging12a"/>
      </w:pPr>
      <w:r w:rsidRPr="00F822EB">
        <w:t>–</w:t>
      </w:r>
      <w:r w:rsidRPr="00F822EB">
        <w:tab/>
        <w:t>uzimajući u obzir preporuku Odbora za međunarodnu trgovinu (A10</w:t>
      </w:r>
      <w:r w:rsidRPr="00F822EB">
        <w:noBreakHyphen/>
        <w:t>0186/2025),</w:t>
      </w:r>
    </w:p>
    <w:p w14:paraId="57D63F11" w14:textId="77777777" w:rsidR="00064417" w:rsidRPr="00F822EB" w:rsidRDefault="00064417" w:rsidP="00064417">
      <w:pPr>
        <w:pStyle w:val="NormalHanging12a"/>
      </w:pPr>
      <w:r w:rsidRPr="00F822EB">
        <w:t>1.</w:t>
      </w:r>
      <w:r w:rsidRPr="00F822EB">
        <w:tab/>
        <w:t>daje suglasnost za povlačenje Unije iz Međunarodne studijske skupine za kaučuk;</w:t>
      </w:r>
    </w:p>
    <w:p w14:paraId="513E4FFB" w14:textId="227C8013" w:rsidR="00F822EB" w:rsidRPr="00F822EB" w:rsidRDefault="00064417" w:rsidP="00F822EB">
      <w:pPr>
        <w:pStyle w:val="NormalHanging12a"/>
      </w:pPr>
      <w:r w:rsidRPr="00F822EB">
        <w:t>2.</w:t>
      </w:r>
      <w:r w:rsidRPr="00F822EB">
        <w:tab/>
        <w:t>nalaže svojoj predsjednici da stajalište Parlamenta proslijedi Vijeću, Komisiji te vladama i parlamentima država članica i Tajništvu Međunarodne studijske skupine za kaučuk.</w:t>
      </w:r>
    </w:p>
    <w:p w14:paraId="44B30B70" w14:textId="4FB49F0A" w:rsidR="00E365E1" w:rsidRPr="00F822EB" w:rsidRDefault="00E365E1" w:rsidP="00C51EEA"/>
    <w:sectPr w:rsidR="00E365E1" w:rsidRPr="00F822EB" w:rsidSect="00F822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4F77B" w14:textId="77777777" w:rsidR="00C51EEA" w:rsidRPr="00F822EB" w:rsidRDefault="00C51EEA">
      <w:r w:rsidRPr="00F822EB">
        <w:separator/>
      </w:r>
    </w:p>
  </w:endnote>
  <w:endnote w:type="continuationSeparator" w:id="0">
    <w:p w14:paraId="57ACDC13" w14:textId="77777777" w:rsidR="00C51EEA" w:rsidRPr="00F822EB" w:rsidRDefault="00C51EEA">
      <w:r w:rsidRPr="00F822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735B2" w14:textId="77777777" w:rsidR="00064002" w:rsidRPr="00F822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A3A88" w14:textId="77777777" w:rsidR="00064002" w:rsidRPr="00F822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C8685" w14:textId="77777777" w:rsidR="00064002" w:rsidRPr="00F822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7A4B5" w14:textId="77777777" w:rsidR="00C51EEA" w:rsidRPr="00F822EB" w:rsidRDefault="00C51EEA">
      <w:r w:rsidRPr="00F822EB">
        <w:separator/>
      </w:r>
    </w:p>
  </w:footnote>
  <w:footnote w:type="continuationSeparator" w:id="0">
    <w:p w14:paraId="2042ECD9" w14:textId="77777777" w:rsidR="00C51EEA" w:rsidRPr="00F822EB" w:rsidRDefault="00C51EEA">
      <w:r w:rsidRPr="00F822EB">
        <w:continuationSeparator/>
      </w:r>
    </w:p>
  </w:footnote>
  <w:footnote w:id="1">
    <w:p w14:paraId="39344CD9" w14:textId="64823064" w:rsidR="00064417" w:rsidRPr="00F822EB" w:rsidRDefault="00064417" w:rsidP="00F822EB">
      <w:pPr>
        <w:pStyle w:val="FootnoteText"/>
        <w:ind w:left="567" w:hanging="567"/>
        <w:rPr>
          <w:sz w:val="24"/>
          <w:lang w:val="hr-HR"/>
        </w:rPr>
      </w:pPr>
      <w:r w:rsidRPr="00F822EB">
        <w:rPr>
          <w:rStyle w:val="FootnoteReference"/>
          <w:sz w:val="24"/>
          <w:lang w:val="hr-HR"/>
        </w:rPr>
        <w:footnoteRef/>
      </w:r>
      <w:r w:rsidR="00F822EB" w:rsidRPr="00F822EB">
        <w:rPr>
          <w:sz w:val="24"/>
          <w:lang w:val="hr-HR"/>
        </w:rPr>
        <w:t xml:space="preserve"> </w:t>
      </w:r>
      <w:r w:rsidR="00F822EB" w:rsidRPr="00F822EB">
        <w:rPr>
          <w:sz w:val="24"/>
          <w:lang w:val="hr-HR"/>
        </w:rPr>
        <w:tab/>
      </w:r>
      <w:r w:rsidRPr="00F822EB">
        <w:rPr>
          <w:sz w:val="24"/>
          <w:lang w:val="hr-HR"/>
        </w:rPr>
        <w:t xml:space="preserve">SL L 264, 8.10.2011., str. 14., ELI: </w:t>
      </w:r>
      <w:hyperlink r:id="rId1" w:history="1">
        <w:r w:rsidRPr="00F822EB">
          <w:rPr>
            <w:rStyle w:val="Hyperlink"/>
            <w:sz w:val="24"/>
            <w:lang w:val="hr-HR"/>
          </w:rPr>
          <w:t>http://data.europa.eu/eli/statute/2011/1008/oj</w:t>
        </w:r>
      </w:hyperlink>
      <w:r w:rsidRPr="00F822EB">
        <w:rPr>
          <w:sz w:val="24"/>
          <w:lang w:val="hr-HR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F0AE0" w14:textId="77777777" w:rsidR="00064002" w:rsidRPr="00F822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7DE70" w14:textId="77777777" w:rsidR="00064002" w:rsidRPr="00F822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0AFD9" w14:textId="77777777" w:rsidR="00064002" w:rsidRPr="00F822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7314233">
    <w:abstractNumId w:val="9"/>
  </w:num>
  <w:num w:numId="2" w16cid:durableId="1477065086">
    <w:abstractNumId w:val="9"/>
  </w:num>
  <w:num w:numId="3" w16cid:durableId="104734601">
    <w:abstractNumId w:val="7"/>
  </w:num>
  <w:num w:numId="4" w16cid:durableId="764569506">
    <w:abstractNumId w:val="7"/>
  </w:num>
  <w:num w:numId="5" w16cid:durableId="56636816">
    <w:abstractNumId w:val="6"/>
  </w:num>
  <w:num w:numId="6" w16cid:durableId="1685865103">
    <w:abstractNumId w:val="6"/>
  </w:num>
  <w:num w:numId="7" w16cid:durableId="1403260213">
    <w:abstractNumId w:val="5"/>
  </w:num>
  <w:num w:numId="8" w16cid:durableId="110630560">
    <w:abstractNumId w:val="5"/>
  </w:num>
  <w:num w:numId="9" w16cid:durableId="2047370348">
    <w:abstractNumId w:val="4"/>
  </w:num>
  <w:num w:numId="10" w16cid:durableId="1862863640">
    <w:abstractNumId w:val="4"/>
  </w:num>
  <w:num w:numId="11" w16cid:durableId="854267892">
    <w:abstractNumId w:val="8"/>
  </w:num>
  <w:num w:numId="12" w16cid:durableId="838273195">
    <w:abstractNumId w:val="8"/>
  </w:num>
  <w:num w:numId="13" w16cid:durableId="1232427105">
    <w:abstractNumId w:val="3"/>
  </w:num>
  <w:num w:numId="14" w16cid:durableId="477042404">
    <w:abstractNumId w:val="3"/>
  </w:num>
  <w:num w:numId="15" w16cid:durableId="1530332007">
    <w:abstractNumId w:val="2"/>
  </w:num>
  <w:num w:numId="16" w16cid:durableId="2127964934">
    <w:abstractNumId w:val="2"/>
  </w:num>
  <w:num w:numId="17" w16cid:durableId="1723676789">
    <w:abstractNumId w:val="1"/>
  </w:num>
  <w:num w:numId="18" w16cid:durableId="2103452016">
    <w:abstractNumId w:val="1"/>
  </w:num>
  <w:num w:numId="19" w16cid:durableId="954680896">
    <w:abstractNumId w:val="0"/>
  </w:num>
  <w:num w:numId="20" w16cid:durableId="1967154492">
    <w:abstractNumId w:val="0"/>
  </w:num>
  <w:num w:numId="21" w16cid:durableId="149713235">
    <w:abstractNumId w:val="9"/>
  </w:num>
  <w:num w:numId="22" w16cid:durableId="1629815369">
    <w:abstractNumId w:val="7"/>
  </w:num>
  <w:num w:numId="23" w16cid:durableId="1558396736">
    <w:abstractNumId w:val="6"/>
  </w:num>
  <w:num w:numId="24" w16cid:durableId="839081843">
    <w:abstractNumId w:val="5"/>
  </w:num>
  <w:num w:numId="25" w16cid:durableId="1131366773">
    <w:abstractNumId w:val="4"/>
  </w:num>
  <w:num w:numId="26" w16cid:durableId="1151605235">
    <w:abstractNumId w:val="8"/>
  </w:num>
  <w:num w:numId="27" w16cid:durableId="633408740">
    <w:abstractNumId w:val="3"/>
  </w:num>
  <w:num w:numId="28" w16cid:durableId="1407069284">
    <w:abstractNumId w:val="2"/>
  </w:num>
  <w:num w:numId="29" w16cid:durableId="1241907632">
    <w:abstractNumId w:val="1"/>
  </w:num>
  <w:num w:numId="30" w16cid:durableId="1399745483">
    <w:abstractNumId w:val="0"/>
  </w:num>
  <w:num w:numId="31" w16cid:durableId="1824198379">
    <w:abstractNumId w:val="9"/>
  </w:num>
  <w:num w:numId="32" w16cid:durableId="1367755257">
    <w:abstractNumId w:val="7"/>
  </w:num>
  <w:num w:numId="33" w16cid:durableId="543760393">
    <w:abstractNumId w:val="6"/>
  </w:num>
  <w:num w:numId="34" w16cid:durableId="1995914438">
    <w:abstractNumId w:val="5"/>
  </w:num>
  <w:num w:numId="35" w16cid:durableId="368334393">
    <w:abstractNumId w:val="4"/>
  </w:num>
  <w:num w:numId="36" w16cid:durableId="2098819593">
    <w:abstractNumId w:val="8"/>
  </w:num>
  <w:num w:numId="37" w16cid:durableId="563953100">
    <w:abstractNumId w:val="3"/>
  </w:num>
  <w:num w:numId="38" w16cid:durableId="675694795">
    <w:abstractNumId w:val="2"/>
  </w:num>
  <w:num w:numId="39" w16cid:durableId="1702440209">
    <w:abstractNumId w:val="1"/>
  </w:num>
  <w:num w:numId="40" w16cid:durableId="1935163838">
    <w:abstractNumId w:val="0"/>
  </w:num>
  <w:num w:numId="41" w16cid:durableId="442386345">
    <w:abstractNumId w:val="10"/>
  </w:num>
  <w:num w:numId="42" w16cid:durableId="561521163">
    <w:abstractNumId w:val="10"/>
  </w:num>
  <w:num w:numId="43" w16cid:durableId="1797018873">
    <w:abstractNumId w:val="10"/>
  </w:num>
  <w:num w:numId="44" w16cid:durableId="18912667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HR"/>
    <w:docVar w:name="dvnumam" w:val="0"/>
    <w:docVar w:name="dvpe" w:val="778.026"/>
    <w:docVar w:name="dvrapporteur" w:val="Izvjestitelj: "/>
    <w:docVar w:name="dvstar" w:val="***"/>
    <w:docVar w:name="dvtitre" w:val="Zakonodavna rezolucija Europskog parlamenta od .... 2025. o Prijedlogu odluke Vijeća o povlačenju Europske unije iz Međunarodne studijske skupine za kaučuk (IRSG)(11951/2025 – C10-0208/2025 – 2017/0159(NLE))"/>
  </w:docVars>
  <w:rsids>
    <w:rsidRoot w:val="00C51EEA"/>
    <w:rsid w:val="00002272"/>
    <w:rsid w:val="00064002"/>
    <w:rsid w:val="00064417"/>
    <w:rsid w:val="000677B9"/>
    <w:rsid w:val="000831BA"/>
    <w:rsid w:val="000A42CC"/>
    <w:rsid w:val="000E7DD9"/>
    <w:rsid w:val="0010095E"/>
    <w:rsid w:val="00125B37"/>
    <w:rsid w:val="00187494"/>
    <w:rsid w:val="001D4CDA"/>
    <w:rsid w:val="001F32AE"/>
    <w:rsid w:val="00271E2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685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46C8"/>
    <w:rsid w:val="009C5244"/>
    <w:rsid w:val="00A1687D"/>
    <w:rsid w:val="00A43E52"/>
    <w:rsid w:val="00A4678D"/>
    <w:rsid w:val="00A778C7"/>
    <w:rsid w:val="00AB441E"/>
    <w:rsid w:val="00AB6293"/>
    <w:rsid w:val="00AE0928"/>
    <w:rsid w:val="00AF3B82"/>
    <w:rsid w:val="00AF5A70"/>
    <w:rsid w:val="00B12E95"/>
    <w:rsid w:val="00B22876"/>
    <w:rsid w:val="00B558F0"/>
    <w:rsid w:val="00BD48FE"/>
    <w:rsid w:val="00BD7BD8"/>
    <w:rsid w:val="00BE6ADC"/>
    <w:rsid w:val="00C05BFE"/>
    <w:rsid w:val="00C23CD4"/>
    <w:rsid w:val="00C51EE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792"/>
    <w:rsid w:val="00DA7FCD"/>
    <w:rsid w:val="00E2777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22EB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F17449"/>
  <w15:chartTrackingRefBased/>
  <w15:docId w15:val="{933B021B-639C-4882-BD50-F8BD54A5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4417"/>
    <w:pPr>
      <w:spacing w:before="480" w:after="240"/>
    </w:pPr>
  </w:style>
  <w:style w:type="paragraph" w:customStyle="1" w:styleId="NormalBold">
    <w:name w:val="NormalBold"/>
    <w:basedOn w:val="Normal"/>
    <w:rsid w:val="00064417"/>
    <w:rPr>
      <w:b/>
    </w:rPr>
  </w:style>
  <w:style w:type="paragraph" w:customStyle="1" w:styleId="NormalHanging12a">
    <w:name w:val="NormalHanging12a"/>
    <w:basedOn w:val="Normal"/>
    <w:rsid w:val="00064417"/>
    <w:pPr>
      <w:spacing w:after="240"/>
      <w:ind w:left="567" w:hanging="567"/>
    </w:pPr>
  </w:style>
  <w:style w:type="character" w:styleId="Hyperlink">
    <w:name w:val="Hyperlink"/>
    <w:basedOn w:val="DefaultParagraphFont"/>
    <w:rsid w:val="0006441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9A46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2025-10-08T13:28:00Z</dcterms:created>
  <dcterms:modified xsi:type="dcterms:W3CDTF">2025-10-08T13:28:00Z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