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547B" w14:paraId="1065A7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D9008B" w14:textId="6C8AA181" w:rsidR="00751A4A" w:rsidRPr="00DA547B" w:rsidRDefault="007A545B" w:rsidP="0010095E">
            <w:pPr>
              <w:pStyle w:val="EPName"/>
            </w:pPr>
            <w:r w:rsidRPr="00DA547B">
              <w:t>Европейски</w:t>
            </w:r>
            <w:r w:rsidR="0083551C" w:rsidRPr="00DA547B">
              <w:t xml:space="preserve"> парламент</w:t>
            </w:r>
          </w:p>
          <w:p w14:paraId="2AF69A2E" w14:textId="7C0932A0" w:rsidR="00751A4A" w:rsidRPr="00DA54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547B">
              <w:t>2024</w:t>
            </w:r>
            <w:r w:rsidR="007A545B">
              <w:rPr>
                <w:lang w:val="en-GB"/>
              </w:rPr>
              <w:t> </w:t>
            </w:r>
            <w:r w:rsidR="007A545B">
              <w:t>–</w:t>
            </w:r>
            <w:r w:rsidR="007A545B">
              <w:rPr>
                <w:lang w:val="en-GB"/>
              </w:rPr>
              <w:t> </w:t>
            </w:r>
            <w:r w:rsidR="00817416" w:rsidRPr="00DA547B">
              <w:t>202</w:t>
            </w:r>
            <w:r w:rsidRPr="00DA547B">
              <w:t>9</w:t>
            </w:r>
          </w:p>
        </w:tc>
        <w:tc>
          <w:tcPr>
            <w:tcW w:w="2268" w:type="dxa"/>
            <w:shd w:val="clear" w:color="auto" w:fill="auto"/>
          </w:tcPr>
          <w:p w14:paraId="5185ADB4" w14:textId="77777777" w:rsidR="00751A4A" w:rsidRPr="00DA547B" w:rsidRDefault="00187494" w:rsidP="0010095E">
            <w:pPr>
              <w:pStyle w:val="EPLogo"/>
            </w:pPr>
            <w:r w:rsidRPr="00DA547B">
              <w:rPr>
                <w:noProof/>
                <w:lang w:eastAsia="ja-JP"/>
              </w:rPr>
              <w:drawing>
                <wp:inline distT="0" distB="0" distL="0" distR="0" wp14:anchorId="22B8205B" wp14:editId="0CBE04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38CBD" w14:textId="77777777" w:rsidR="00D058B8" w:rsidRPr="00DA547B" w:rsidRDefault="00D058B8" w:rsidP="004C5D52">
      <w:pPr>
        <w:pStyle w:val="LineTop"/>
      </w:pPr>
    </w:p>
    <w:p w14:paraId="029AEEA7" w14:textId="77777777" w:rsidR="00680577" w:rsidRPr="00DA547B" w:rsidRDefault="0083551C" w:rsidP="00680577">
      <w:pPr>
        <w:pStyle w:val="EPBodyTA1"/>
      </w:pPr>
      <w:r w:rsidRPr="00DA547B">
        <w:t>ПРИЕТИ ТЕКСТОВЕ</w:t>
      </w:r>
    </w:p>
    <w:p w14:paraId="0CC234CB" w14:textId="77777777" w:rsidR="00D058B8" w:rsidRPr="00DA547B" w:rsidRDefault="00D058B8" w:rsidP="00D058B8">
      <w:pPr>
        <w:pStyle w:val="LineBottom"/>
      </w:pPr>
    </w:p>
    <w:p w14:paraId="1170051A" w14:textId="57C32E28" w:rsidR="0083551C" w:rsidRPr="00894179" w:rsidRDefault="0083551C" w:rsidP="0083551C">
      <w:pPr>
        <w:pStyle w:val="ATHeading1"/>
        <w:rPr>
          <w:lang w:val="en-GB"/>
        </w:rPr>
      </w:pPr>
      <w:bookmarkStart w:id="0" w:name="TANumber"/>
      <w:r w:rsidRPr="00DA547B">
        <w:t>P10_TA(2025)0</w:t>
      </w:r>
      <w:r w:rsidR="00894179">
        <w:rPr>
          <w:lang w:val="en-GB"/>
        </w:rPr>
        <w:t>218</w:t>
      </w:r>
      <w:bookmarkEnd w:id="0"/>
    </w:p>
    <w:p w14:paraId="11806724" w14:textId="144375A1" w:rsidR="0083551C" w:rsidRPr="00DA547B" w:rsidRDefault="0083551C" w:rsidP="0083551C">
      <w:pPr>
        <w:pStyle w:val="ATHeading2"/>
      </w:pPr>
      <w:bookmarkStart w:id="1" w:name="title"/>
      <w:bookmarkStart w:id="2" w:name="_Hlk210826776"/>
      <w:r w:rsidRPr="00DA547B">
        <w:t>Проект на коригиращ бюджет № 2</w:t>
      </w:r>
      <w:r w:rsidR="00523471">
        <w:t>/</w:t>
      </w:r>
      <w:r w:rsidRPr="00DA547B">
        <w:t>2025</w:t>
      </w:r>
      <w:r w:rsidR="00523471">
        <w:t>:</w:t>
      </w:r>
      <w:r w:rsidRPr="00DA547B">
        <w:t xml:space="preserve"> Актуализация на приходите (собствените ресурси) и корекции на разходите</w:t>
      </w:r>
      <w:bookmarkEnd w:id="1"/>
    </w:p>
    <w:bookmarkEnd w:id="2"/>
    <w:p w14:paraId="06019D38" w14:textId="77777777" w:rsidR="0083551C" w:rsidRPr="00DA547B" w:rsidRDefault="0083551C" w:rsidP="0083551C">
      <w:pPr>
        <w:rPr>
          <w:i/>
          <w:vanish/>
        </w:rPr>
      </w:pPr>
      <w:r w:rsidRPr="00DA547B">
        <w:rPr>
          <w:i/>
        </w:rPr>
        <w:fldChar w:fldCharType="begin"/>
      </w:r>
      <w:r w:rsidRPr="00DA547B">
        <w:rPr>
          <w:i/>
        </w:rPr>
        <w:instrText xml:space="preserve"> TC"(</w:instrText>
      </w:r>
      <w:bookmarkStart w:id="3" w:name="DocNumber"/>
      <w:r w:rsidRPr="00DA547B">
        <w:rPr>
          <w:i/>
        </w:rPr>
        <w:instrText>A10-0165/2025</w:instrText>
      </w:r>
      <w:bookmarkEnd w:id="3"/>
      <w:r w:rsidRPr="00DA547B">
        <w:rPr>
          <w:i/>
        </w:rPr>
        <w:instrText xml:space="preserve"> - Докладчик: Виктор </w:instrText>
      </w:r>
      <w:proofErr w:type="spellStart"/>
      <w:r w:rsidRPr="00DA547B">
        <w:rPr>
          <w:i/>
        </w:rPr>
        <w:instrText>Негреску</w:instrText>
      </w:r>
      <w:proofErr w:type="spellEnd"/>
      <w:r w:rsidRPr="00DA547B">
        <w:rPr>
          <w:i/>
        </w:rPr>
        <w:instrText xml:space="preserve">)"\l3 \n&gt; \* MERGEFORMAT </w:instrText>
      </w:r>
      <w:r w:rsidRPr="00DA547B">
        <w:rPr>
          <w:i/>
        </w:rPr>
        <w:fldChar w:fldCharType="end"/>
      </w:r>
    </w:p>
    <w:p w14:paraId="06F933F8" w14:textId="77777777" w:rsidR="0083551C" w:rsidRPr="00DA547B" w:rsidRDefault="0083551C" w:rsidP="0083551C">
      <w:pPr>
        <w:rPr>
          <w:vanish/>
        </w:rPr>
      </w:pPr>
      <w:bookmarkStart w:id="4" w:name="Commission"/>
      <w:r w:rsidRPr="00DA547B">
        <w:rPr>
          <w:vanish/>
        </w:rPr>
        <w:t>Комисия по бюджети</w:t>
      </w:r>
      <w:bookmarkEnd w:id="4"/>
    </w:p>
    <w:p w14:paraId="214B58EC" w14:textId="77777777" w:rsidR="0083551C" w:rsidRPr="00DA547B" w:rsidRDefault="0083551C" w:rsidP="0083551C">
      <w:pPr>
        <w:rPr>
          <w:vanish/>
        </w:rPr>
      </w:pPr>
      <w:bookmarkStart w:id="5" w:name="PE"/>
      <w:r w:rsidRPr="00DA547B">
        <w:rPr>
          <w:vanish/>
        </w:rPr>
        <w:t>PE776.838</w:t>
      </w:r>
      <w:bookmarkEnd w:id="5"/>
    </w:p>
    <w:p w14:paraId="0A6EFB83" w14:textId="5821FD7E" w:rsidR="0083551C" w:rsidRPr="00DA547B" w:rsidRDefault="0083551C" w:rsidP="007A545B">
      <w:pPr>
        <w:pStyle w:val="ATHeading3"/>
      </w:pPr>
      <w:bookmarkStart w:id="6" w:name="Sujet"/>
      <w:r w:rsidRPr="00DA547B">
        <w:t xml:space="preserve">Резолюция на Европейския парламент от </w:t>
      </w:r>
      <w:r w:rsidR="00523471">
        <w:t>8 октомври</w:t>
      </w:r>
      <w:r w:rsidR="00523471" w:rsidRPr="00DA547B">
        <w:t xml:space="preserve"> </w:t>
      </w:r>
      <w:r w:rsidRPr="00DA547B">
        <w:t>2025 г. относно позицията на Съвета относно проект на коригиращ бюджет № 2/2025 на Европейския съюз за финансовата 2025 година – Актуализация на приходите (собствените ресурси) и корекции на разходите</w:t>
      </w:r>
      <w:bookmarkEnd w:id="6"/>
      <w:r w:rsidRPr="00DA547B">
        <w:t xml:space="preserve"> </w:t>
      </w:r>
      <w:bookmarkStart w:id="7" w:name="References"/>
      <w:r w:rsidRPr="00DA547B">
        <w:t>(12353/2025 – C10-0209/2025 – 2025/0206(BUD))</w:t>
      </w:r>
      <w:bookmarkEnd w:id="7"/>
    </w:p>
    <w:p w14:paraId="73ED0930" w14:textId="77777777" w:rsidR="00CB17C3" w:rsidRPr="00DA547B" w:rsidRDefault="00CB17C3" w:rsidP="00CB17C3">
      <w:pPr>
        <w:pStyle w:val="EPComma"/>
      </w:pPr>
      <w:bookmarkStart w:id="8" w:name="TextBodyBegin"/>
      <w:bookmarkEnd w:id="8"/>
      <w:r w:rsidRPr="00DA547B">
        <w:rPr>
          <w:i/>
          <w:iCs/>
        </w:rPr>
        <w:t>Европейският парламент,</w:t>
      </w:r>
    </w:p>
    <w:p w14:paraId="67866F4B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член 314 от Договора за функционирането на Европейския съюз,</w:t>
      </w:r>
    </w:p>
    <w:p w14:paraId="2B689000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член 106а от Договора за създаване на Европейската общност за атомна енергия,</w:t>
      </w:r>
    </w:p>
    <w:p w14:paraId="65691E39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Регламент (ЕС, Евратом) 2024/2509 на Европейския парламент и на Съвета от 23 септември 2024 г. относно финансовите правила, приложими за общия бюджет на Съюза</w:t>
      </w:r>
      <w:r w:rsidRPr="00DA547B">
        <w:rPr>
          <w:rStyle w:val="FootnoteReference"/>
        </w:rPr>
        <w:footnoteReference w:id="1"/>
      </w:r>
      <w:r w:rsidRPr="00DA547B">
        <w:t>, и по-специално член 44 от него,</w:t>
      </w:r>
    </w:p>
    <w:p w14:paraId="0CB962D4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общия бюджет на Европейския съюз за финансовата 2025 година, приет окончателно на 27 ноември 2024 г.</w:t>
      </w:r>
      <w:r w:rsidRPr="00DA547B">
        <w:rPr>
          <w:rStyle w:val="FootnoteReference"/>
        </w:rPr>
        <w:footnoteReference w:id="2"/>
      </w:r>
      <w:r w:rsidRPr="00DA547B">
        <w:t>,</w:t>
      </w:r>
    </w:p>
    <w:p w14:paraId="3F1104A1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Регламент (ЕС, Евратом) 2020/2093 на Съвета от 17 декември 2020 г. за определяне на многогодишната финансова рамка за годините 2021 – 2027</w:t>
      </w:r>
      <w:r w:rsidRPr="00DA547B">
        <w:rPr>
          <w:rStyle w:val="FootnoteReference"/>
        </w:rPr>
        <w:footnoteReference w:id="3"/>
      </w:r>
      <w:r w:rsidRPr="00DA547B">
        <w:t>,</w:t>
      </w:r>
    </w:p>
    <w:p w14:paraId="0AEB7560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 xml:space="preserve">като взе предвид Междуинституционалното споразумение от 16 декември 2020 г. между Европейския парламент, Съвета и Комисията относно бюджетната дисциплина, сътрудничеството по бюджетни въпроси и доброто финансово управление и относно новите собствени ресурси, включително пътна карта за </w:t>
      </w:r>
      <w:r w:rsidRPr="00DA547B">
        <w:lastRenderedPageBreak/>
        <w:t>въвеждането на нови собствени ресурси</w:t>
      </w:r>
      <w:r w:rsidRPr="00DA547B">
        <w:rPr>
          <w:rStyle w:val="FootnoteReference"/>
        </w:rPr>
        <w:footnoteReference w:id="4"/>
      </w:r>
      <w:r w:rsidRPr="00DA547B">
        <w:t>,</w:t>
      </w:r>
    </w:p>
    <w:p w14:paraId="06029209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Решение (ЕС, Евратом) 2020/2053 на Съвета от 14 декември 2020 г. относно системата на собствените ресурси на Европейския съюз и за отмяна на Решение 2014/335/ЕС, Евратом</w:t>
      </w:r>
      <w:r w:rsidRPr="00DA547B">
        <w:rPr>
          <w:rStyle w:val="FootnoteReference"/>
        </w:rPr>
        <w:footnoteReference w:id="5"/>
      </w:r>
      <w:r w:rsidRPr="00DA547B">
        <w:t>,</w:t>
      </w:r>
    </w:p>
    <w:p w14:paraId="2BA9128D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проект на коригиращ бюджет № 2/2025, приет от Комисията на 4 юли 2025 г. (COM(2025)0410),</w:t>
      </w:r>
    </w:p>
    <w:p w14:paraId="1039764E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позицията относно проект на коригиращ бюджет № 2/2025, приета от Съвета на 16 септември 2025 г. и предадена на Европейския парламент на 17 септември 2025 г. (12353/2025 – C10</w:t>
      </w:r>
      <w:r w:rsidRPr="00DA547B">
        <w:noBreakHyphen/>
        <w:t>0209/2025),</w:t>
      </w:r>
    </w:p>
    <w:p w14:paraId="077C41F7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членове 96 и 98 от своя Правилник за дейността,</w:t>
      </w:r>
    </w:p>
    <w:p w14:paraId="44FB59FA" w14:textId="77777777" w:rsidR="00CB17C3" w:rsidRPr="00DA547B" w:rsidRDefault="00CB17C3" w:rsidP="00CB17C3">
      <w:pPr>
        <w:pStyle w:val="NormalHanging12a"/>
      </w:pPr>
      <w:r w:rsidRPr="00DA547B">
        <w:t>–</w:t>
      </w:r>
      <w:r w:rsidRPr="00DA547B">
        <w:tab/>
        <w:t>като взе предвид доклада на комисията по бюджети (A10-0165/2025),</w:t>
      </w:r>
    </w:p>
    <w:p w14:paraId="79B79CF7" w14:textId="77777777" w:rsidR="00CB17C3" w:rsidRPr="00DA547B" w:rsidRDefault="00CB17C3" w:rsidP="00CB17C3">
      <w:pPr>
        <w:pStyle w:val="NormalHanging12a"/>
      </w:pPr>
      <w:r w:rsidRPr="00DA547B">
        <w:t>А.</w:t>
      </w:r>
      <w:r w:rsidRPr="00DA547B">
        <w:tab/>
        <w:t>като има предвид, че целта на проект на коригиращ бюджет № 2/2025 е да се актуализира приходната част на бюджета, за да се вземат предвид последните събития, и освен това да се коригира разходната част на бюджета по отношение на редица разходни позиции;</w:t>
      </w:r>
    </w:p>
    <w:p w14:paraId="140DA512" w14:textId="77777777" w:rsidR="00CB17C3" w:rsidRPr="00DA547B" w:rsidRDefault="00CB17C3" w:rsidP="00CB17C3">
      <w:pPr>
        <w:pStyle w:val="NormalHanging12a"/>
      </w:pPr>
      <w:r w:rsidRPr="00DA547B">
        <w:t>Б.</w:t>
      </w:r>
      <w:r w:rsidRPr="00DA547B">
        <w:tab/>
        <w:t xml:space="preserve">като има предвид, че проект на коригиращ бюджет № 2/2025 предполага преразглеждане на прогнозите за собствените ресурси във връзка с митата, които са с 1% по-ниски от прогнозата от май 2024 г., във връзка с базата за ДДС с таван, която е с 2,4% по-ниска от прогнозата от май 2024 г., във връзка с </w:t>
      </w:r>
      <w:proofErr w:type="spellStart"/>
      <w:r w:rsidRPr="00DA547B">
        <w:t>нерециклираните</w:t>
      </w:r>
      <w:proofErr w:type="spellEnd"/>
      <w:r w:rsidRPr="00DA547B">
        <w:t xml:space="preserve"> отпадъци от опаковки от пластмаса, които са с 3,5% по-малко от прогнозата от май 2024 г., и във връзка с общата база за БНД на ЕС, която е с 0,5% по-висока в сравнение с прогнозата от май 2024 г.;</w:t>
      </w:r>
    </w:p>
    <w:p w14:paraId="6A826865" w14:textId="77777777" w:rsidR="00CB17C3" w:rsidRPr="00DA547B" w:rsidRDefault="00CB17C3" w:rsidP="00CB17C3">
      <w:pPr>
        <w:pStyle w:val="NormalHanging12a"/>
      </w:pPr>
      <w:r w:rsidRPr="00DA547B">
        <w:t>В.</w:t>
      </w:r>
      <w:r w:rsidRPr="00DA547B">
        <w:tab/>
        <w:t>като има предвид, че с проект на коригиращ бюджет № 2/2025 също така се актуализира вноската на Обединеното кралство за 2025 г. съгласно споразумението за оттегляне, която възлиза на 1,53 милиарда евро, което представлява скромно намаление с 25 милиона евро в сравнение с прогнозата, включена в бюджета за 2025 г.;</w:t>
      </w:r>
    </w:p>
    <w:p w14:paraId="27EBE820" w14:textId="77777777" w:rsidR="00CB17C3" w:rsidRPr="00DA547B" w:rsidRDefault="00CB17C3" w:rsidP="00CB17C3">
      <w:pPr>
        <w:pStyle w:val="NormalHanging12a"/>
      </w:pPr>
      <w:r w:rsidRPr="00DA547B">
        <w:t>Г.</w:t>
      </w:r>
      <w:r w:rsidRPr="00DA547B">
        <w:tab/>
        <w:t>като има предвид, че в проект на коригиращ бюджет № 2/2025 също така се вземат предвид глобите, санкциите за нарушения и отрицателните възвръщаемости, платени до края на май 2025 г., което увеличава първоначалната прогноза за глобите и санкциите в бюджета за 2025 г. с 291 милиона евро;</w:t>
      </w:r>
    </w:p>
    <w:p w14:paraId="2034C9A7" w14:textId="77777777" w:rsidR="00CB17C3" w:rsidRPr="00DA547B" w:rsidRDefault="00CB17C3" w:rsidP="00CB17C3">
      <w:pPr>
        <w:pStyle w:val="NormalHanging12a"/>
      </w:pPr>
      <w:r w:rsidRPr="00DA547B">
        <w:t>Д.</w:t>
      </w:r>
      <w:r w:rsidRPr="00DA547B">
        <w:tab/>
        <w:t>като има предвид, че по отношение на разходната част проект на коригиращ бюджет № 2/2025 предлага редица актуализации на бюджетните кредити за поети задължения и за плащания, преди всичко увеличение на бюджетните кредити за плащания с 3,5 милиарда евро за Европейския земеделски фонд за развитие на селските райони;</w:t>
      </w:r>
    </w:p>
    <w:p w14:paraId="2428BDB9" w14:textId="77777777" w:rsidR="00CB17C3" w:rsidRPr="00DA547B" w:rsidRDefault="00CB17C3" w:rsidP="00CB17C3">
      <w:pPr>
        <w:pStyle w:val="NormalHanging12a"/>
      </w:pPr>
      <w:r w:rsidRPr="00DA547B">
        <w:t>1.</w:t>
      </w:r>
      <w:r w:rsidRPr="00DA547B">
        <w:tab/>
        <w:t xml:space="preserve">приема за сведение проект на коригиращ бюджет № 2/2025 във вида, в който е </w:t>
      </w:r>
      <w:r w:rsidRPr="00DA547B">
        <w:lastRenderedPageBreak/>
        <w:t>представен от Комисията;</w:t>
      </w:r>
    </w:p>
    <w:p w14:paraId="4A032292" w14:textId="77777777" w:rsidR="00CB17C3" w:rsidRPr="00DA547B" w:rsidRDefault="00CB17C3" w:rsidP="00CB17C3">
      <w:pPr>
        <w:pStyle w:val="NormalHanging12a"/>
      </w:pPr>
      <w:r w:rsidRPr="00DA547B">
        <w:t>2.</w:t>
      </w:r>
      <w:r w:rsidRPr="00DA547B">
        <w:tab/>
        <w:t>отбелязва, че намаляването на размера на собствените ресурси, различни от БНД, и допълнителните нужди от плащания в разходната част водят до като цяло увеличена нужда от вноски на база БНД в размер на 4,3 милиарда евро; признава, че това предполага промяна на унифицираната изискуема ставка за БНД от 0,527% (в ПКБ № 1/2025) на 0,547% (в ПКБ № 2/2025);</w:t>
      </w:r>
    </w:p>
    <w:p w14:paraId="75521600" w14:textId="1D5AEE0D" w:rsidR="00CB17C3" w:rsidRPr="00DA547B" w:rsidRDefault="00CB17C3" w:rsidP="00CB17C3">
      <w:pPr>
        <w:pStyle w:val="NormalHanging12a"/>
      </w:pPr>
      <w:r w:rsidRPr="00DA547B">
        <w:t>3.</w:t>
      </w:r>
      <w:r w:rsidRPr="00DA547B">
        <w:tab/>
        <w:t xml:space="preserve">подчертава, че с проект на коригиращ бюджет № 2/2025 еднократните намаления на БНД за петте държави членки </w:t>
      </w:r>
      <w:proofErr w:type="spellStart"/>
      <w:r w:rsidRPr="00DA547B">
        <w:t>бенефициери</w:t>
      </w:r>
      <w:proofErr w:type="spellEnd"/>
      <w:r w:rsidRPr="00DA547B">
        <w:t xml:space="preserve"> възлизат на около 9,2 милиарда евро (бруто); подчертава, че тези отстъпки са обвързани с инфлацията и следователно се увеличиха по-бързо от таваните на </w:t>
      </w:r>
      <w:r w:rsidR="00523471">
        <w:t>многогодишната финансова рамка (</w:t>
      </w:r>
      <w:r w:rsidRPr="00DA547B">
        <w:t>МФР</w:t>
      </w:r>
      <w:r w:rsidR="00523471">
        <w:t>)</w:t>
      </w:r>
      <w:r w:rsidRPr="00DA547B">
        <w:t xml:space="preserve">, които се коригират ежегодно въз основа на </w:t>
      </w:r>
      <w:proofErr w:type="spellStart"/>
      <w:r w:rsidRPr="00DA547B">
        <w:t>дефлатора</w:t>
      </w:r>
      <w:proofErr w:type="spellEnd"/>
      <w:r w:rsidRPr="00DA547B">
        <w:t xml:space="preserve"> от 2%; подчертава, че бюджетът на Съюза беше значително натоварен, за да реагира на различни кризи през последните няколко години; подчертава, че тази аномалия във връзка с отстъпките увеличава тежестта за другите държави членки;</w:t>
      </w:r>
    </w:p>
    <w:p w14:paraId="6922EB78" w14:textId="77777777" w:rsidR="00CB17C3" w:rsidRPr="00DA547B" w:rsidRDefault="00CB17C3" w:rsidP="00CB17C3">
      <w:pPr>
        <w:pStyle w:val="NormalHanging12a"/>
      </w:pPr>
      <w:r w:rsidRPr="00DA547B">
        <w:t>4.</w:t>
      </w:r>
      <w:r w:rsidRPr="00DA547B">
        <w:tab/>
        <w:t xml:space="preserve">приветства новите усилия на Комисията да представи повече възможности за нови източници на приходи за бюджета на Съюза; във връзка с това взема под внимание предложението на Комисията за решение на Съвета относно системата на собствените ресурси на Европейския съюз от 16 юли 2025 г.; счита, че е необходимо бързо да се приемат нови собствени ресурси, за да се увеличат наличните ресурси за бюджета; подчертава, че новите собствени ресурси трябва да бъдат справедливи и са от съществено значение не само за да се даде възможност за погасяване на заемите по </w:t>
      </w:r>
      <w:proofErr w:type="spellStart"/>
      <w:r w:rsidRPr="00DA547B">
        <w:t>Next</w:t>
      </w:r>
      <w:proofErr w:type="spellEnd"/>
      <w:r w:rsidRPr="00DA547B">
        <w:t xml:space="preserve"> </w:t>
      </w:r>
      <w:proofErr w:type="spellStart"/>
      <w:r w:rsidRPr="00DA547B">
        <w:t>Generation</w:t>
      </w:r>
      <w:proofErr w:type="spellEnd"/>
      <w:r w:rsidRPr="00DA547B">
        <w:t xml:space="preserve"> EU, но и за да се гарантира, че Съюзът разполага с необходимите средства за покриване на по-големите си потребности от разходи; в този контекст припомня дългогодишната си позиция, че извънредните приходи, произтичащи от глоби и санкции, или равностойни на тях суми, следва да се използват като допълнителни приходи за бюджета на Съюза за целите на реакцията при кризи или неочаквани нужди и да не водят до съответно намаляване на вноските на база БНД; подчертава, че в настоящата МФР тези суми се „връщат“ на държавите членки;</w:t>
      </w:r>
    </w:p>
    <w:p w14:paraId="7BB042F7" w14:textId="77777777" w:rsidR="00CB17C3" w:rsidRPr="00DA547B" w:rsidRDefault="00CB17C3" w:rsidP="00CB17C3">
      <w:pPr>
        <w:pStyle w:val="NormalHanging12a"/>
      </w:pPr>
      <w:r w:rsidRPr="00DA547B">
        <w:t>5.</w:t>
      </w:r>
      <w:r w:rsidRPr="00DA547B">
        <w:tab/>
        <w:t>подчертава, че поуките от неотдавнашните кризи – пандемията, енергийните сътресения и войната в Украйна – изискват сериозен размисъл за гъвкавостта в следващата МФР; отново заявява позицията си, че бъдещият Инструмент за гъвкавост следва да бъде захранван чрез редица допълнителни източници на финансиране, включително годишния излишък от предходната година, глобите и обратните постъпления; отбелязва съответните разпоредби в предложения регламент за МФР, в които Комисията предлага да се добавят определени суми към Инструмента за гъвкавост в съответствие с дългогодишните искания на Парламента; припомня обаче, че гъвкавостта не следва да бъде за сметка на прозрачността;</w:t>
      </w:r>
    </w:p>
    <w:p w14:paraId="3405FEE8" w14:textId="77777777" w:rsidR="00CB17C3" w:rsidRPr="00DA547B" w:rsidRDefault="00CB17C3" w:rsidP="00CB17C3">
      <w:pPr>
        <w:pStyle w:val="NormalHanging12a"/>
      </w:pPr>
      <w:r w:rsidRPr="00DA547B">
        <w:t>6.</w:t>
      </w:r>
      <w:r w:rsidRPr="00DA547B">
        <w:tab/>
        <w:t>приветства корекциите в посока увеличение на бюджетните кредити за плащания за Фонда за развитие на селските райони, които показват, че изпълнението на стратегическите планове по ОСП за периода 2023 – 2027 г., както и интервенциите по линия на програмите за периода 2014 – 2020 г., се ускоряват, и по този начин компенсират натрупаните през предходните бюджетни години забавяния;</w:t>
      </w:r>
    </w:p>
    <w:p w14:paraId="6510E9D0" w14:textId="77777777" w:rsidR="00CB17C3" w:rsidRPr="00DA547B" w:rsidRDefault="00CB17C3" w:rsidP="00CB17C3">
      <w:pPr>
        <w:pStyle w:val="NormalHanging12a"/>
      </w:pPr>
      <w:r w:rsidRPr="00DA547B">
        <w:lastRenderedPageBreak/>
        <w:t>7.</w:t>
      </w:r>
      <w:r w:rsidRPr="00DA547B">
        <w:tab/>
        <w:t>приветства текущите подобрения в областта на механизма за корекция на въглеродните емисии на границите (МКВЕГ), но се пита защо опростяването на Регламента за МКВЕГ трябва да води до увеличаване на нуждите от порядъка на 8 милиона евро вместо до намаляване поради повишаването на ефективността;</w:t>
      </w:r>
    </w:p>
    <w:p w14:paraId="54E6C11B" w14:textId="77777777" w:rsidR="00CB17C3" w:rsidRPr="00DA547B" w:rsidRDefault="00CB17C3" w:rsidP="00CB17C3">
      <w:pPr>
        <w:pStyle w:val="NormalHanging12a"/>
      </w:pPr>
      <w:r w:rsidRPr="00DA547B">
        <w:t>8.</w:t>
      </w:r>
      <w:r w:rsidRPr="00DA547B">
        <w:tab/>
        <w:t>освен това счита за спорно компенсирането на допълнителните нужди за централизираната митническа система по функция 1 и МКВЕГ по функция 3 чрез пропорционално намаляване на разпределените средства по линия на Инструмента за оборудване за митнически контрол по функция 4; изразява съжаление, че настоящата бюджетна ситуация накара Комисията да преразпредели значителни средства между функциите, и припомня дългогодишната си позиция, че новите приоритети, задачи или нужди на политиката следва да бъдат придружени от нови средства; подчертава категорично, че непрекъснатите преразпределяния не са жизнеспособен начин да се финансират приоритетите на Съюза, тъй като вредят на инвестициите и застрашават постигането на договорените цели на политиката;</w:t>
      </w:r>
    </w:p>
    <w:p w14:paraId="338AFBE8" w14:textId="77777777" w:rsidR="00CB17C3" w:rsidRPr="00DA547B" w:rsidRDefault="00CB17C3" w:rsidP="00CB17C3">
      <w:pPr>
        <w:pStyle w:val="NormalHanging12a"/>
      </w:pPr>
      <w:r w:rsidRPr="00DA547B">
        <w:t>9.</w:t>
      </w:r>
      <w:r w:rsidRPr="00DA547B">
        <w:tab/>
        <w:t>подчертава и приветства факта, че някои промени в щатното разписание на Органа на ЕС за борба с изпирането на пари ще позволят на тази агенция да изпълнява задачите си своевременно и ефикасно; припомня, че тази ключова институция играе централна роля в защитата на парите на данъкоплатците и получи силна подкрепа от Европейския парламент;</w:t>
      </w:r>
    </w:p>
    <w:p w14:paraId="75EEB79D" w14:textId="77777777" w:rsidR="00CB17C3" w:rsidRPr="00DA547B" w:rsidRDefault="00CB17C3" w:rsidP="00CB17C3">
      <w:pPr>
        <w:pStyle w:val="NormalHanging12a"/>
      </w:pPr>
      <w:r w:rsidRPr="00DA547B">
        <w:t>10.</w:t>
      </w:r>
      <w:r w:rsidRPr="00DA547B">
        <w:tab/>
        <w:t>приветства напредъка на България към въвеждането на еврото и напълно подкрепя допълнителните средства с цел смяната на валутата да бъде придружена от подходящи и целенасочени комуникационни дейности; признава, че поради липсата на неразпределен марж по функция 2б за тази цел трябва да бъде мобилизиран Инструментът за гъвкавост;</w:t>
      </w:r>
    </w:p>
    <w:p w14:paraId="6206F50C" w14:textId="77777777" w:rsidR="00CB17C3" w:rsidRPr="00DA547B" w:rsidRDefault="00CB17C3" w:rsidP="00CB17C3">
      <w:pPr>
        <w:pStyle w:val="NormalHanging12a"/>
      </w:pPr>
      <w:r w:rsidRPr="00DA547B">
        <w:t>11.</w:t>
      </w:r>
      <w:r w:rsidRPr="00DA547B">
        <w:tab/>
        <w:t>одобрява позицията на Съвета относно проект на коригиращ бюджет № 2/2025;</w:t>
      </w:r>
    </w:p>
    <w:p w14:paraId="3FF3C6AB" w14:textId="77777777" w:rsidR="00CB17C3" w:rsidRPr="00DA547B" w:rsidRDefault="00CB17C3" w:rsidP="00CB17C3">
      <w:pPr>
        <w:pStyle w:val="NormalHanging12a"/>
      </w:pPr>
      <w:r w:rsidRPr="00DA547B">
        <w:t>12.</w:t>
      </w:r>
      <w:r w:rsidRPr="00DA547B">
        <w:tab/>
        <w:t xml:space="preserve">възлага на своя председател да обяви, че коригиращ бюджет № 2/2025 е окончателно приет, както и да осигури неговото публикуване в </w:t>
      </w:r>
      <w:r w:rsidRPr="00DA547B">
        <w:rPr>
          <w:i/>
          <w:iCs/>
        </w:rPr>
        <w:t>Официален вестник на Европейския съюз</w:t>
      </w:r>
      <w:r w:rsidRPr="00DA547B">
        <w:t>;</w:t>
      </w:r>
    </w:p>
    <w:p w14:paraId="06196AE3" w14:textId="31C4D119" w:rsidR="00DA547B" w:rsidRPr="00DA547B" w:rsidRDefault="00CB17C3" w:rsidP="00DA547B">
      <w:pPr>
        <w:pStyle w:val="NormalHanging12a"/>
      </w:pPr>
      <w:r w:rsidRPr="00DA547B">
        <w:t>13.</w:t>
      </w:r>
      <w:r w:rsidRPr="00DA547B">
        <w:tab/>
        <w:t>възлага на своя председател да предаде настоящата резолюция съответно на Съвета и на Комисията, както и на другите заинтересовани институции и органи и на националните парламенти.</w:t>
      </w:r>
    </w:p>
    <w:p w14:paraId="28E3E615" w14:textId="5C771977" w:rsidR="00E365E1" w:rsidRPr="00DA547B" w:rsidRDefault="00E365E1" w:rsidP="0083551C"/>
    <w:sectPr w:rsidR="00E365E1" w:rsidRPr="00DA547B" w:rsidSect="00DA54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F592C" w14:textId="77777777" w:rsidR="0083551C" w:rsidRPr="00DA547B" w:rsidRDefault="0083551C">
      <w:r w:rsidRPr="00DA547B">
        <w:separator/>
      </w:r>
    </w:p>
  </w:endnote>
  <w:endnote w:type="continuationSeparator" w:id="0">
    <w:p w14:paraId="63803914" w14:textId="77777777" w:rsidR="0083551C" w:rsidRPr="00DA547B" w:rsidRDefault="0083551C">
      <w:r w:rsidRPr="00DA54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6A961" w14:textId="77777777" w:rsidR="00064002" w:rsidRPr="00DA54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F1478" w14:textId="77777777" w:rsidR="00064002" w:rsidRPr="00DA54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9324" w14:textId="77777777" w:rsidR="00064002" w:rsidRPr="00DA54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7DAAB" w14:textId="77777777" w:rsidR="0083551C" w:rsidRPr="00DA547B" w:rsidRDefault="0083551C">
      <w:r w:rsidRPr="00DA547B">
        <w:separator/>
      </w:r>
    </w:p>
  </w:footnote>
  <w:footnote w:type="continuationSeparator" w:id="0">
    <w:p w14:paraId="4E9E6B86" w14:textId="77777777" w:rsidR="0083551C" w:rsidRPr="00DA547B" w:rsidRDefault="0083551C">
      <w:r w:rsidRPr="00DA547B">
        <w:continuationSeparator/>
      </w:r>
    </w:p>
  </w:footnote>
  <w:footnote w:id="1">
    <w:p w14:paraId="0CCBECC3" w14:textId="1AEDE3F6" w:rsidR="00CB17C3" w:rsidRPr="00DA547B" w:rsidRDefault="00CB17C3" w:rsidP="00DA547B">
      <w:pPr>
        <w:pStyle w:val="FootnoteText"/>
        <w:ind w:left="567" w:hanging="567"/>
        <w:rPr>
          <w:sz w:val="24"/>
          <w:lang w:val="bg-BG"/>
        </w:rPr>
      </w:pPr>
      <w:r w:rsidRPr="00DA547B">
        <w:rPr>
          <w:rStyle w:val="FootnoteReference"/>
          <w:sz w:val="24"/>
          <w:lang w:val="bg-BG"/>
        </w:rPr>
        <w:footnoteRef/>
      </w:r>
      <w:r w:rsidR="00DA547B" w:rsidRPr="00DA547B">
        <w:rPr>
          <w:sz w:val="24"/>
          <w:lang w:val="bg-BG"/>
        </w:rPr>
        <w:t xml:space="preserve"> </w:t>
      </w:r>
      <w:r w:rsidR="00DA547B" w:rsidRPr="00DA547B">
        <w:rPr>
          <w:sz w:val="24"/>
          <w:lang w:val="bg-BG"/>
        </w:rPr>
        <w:tab/>
      </w:r>
      <w:r w:rsidRPr="00DA547B">
        <w:rPr>
          <w:sz w:val="24"/>
          <w:lang w:val="bg-BG"/>
        </w:rPr>
        <w:t xml:space="preserve">OВ L, 2024/2509, 26.9.2024 г., ELI: </w:t>
      </w:r>
      <w:hyperlink r:id="rId1" w:history="1">
        <w:r w:rsidRPr="00DA547B">
          <w:rPr>
            <w:rStyle w:val="Hyperlink"/>
            <w:sz w:val="24"/>
            <w:lang w:val="bg-BG"/>
          </w:rPr>
          <w:t>http://data.europa.eu/eli/reg/2024/2509/oj</w:t>
        </w:r>
      </w:hyperlink>
      <w:r w:rsidRPr="00DA547B">
        <w:rPr>
          <w:sz w:val="24"/>
          <w:lang w:val="bg-BG"/>
        </w:rPr>
        <w:t>.</w:t>
      </w:r>
    </w:p>
  </w:footnote>
  <w:footnote w:id="2">
    <w:p w14:paraId="0646AB51" w14:textId="7D455499" w:rsidR="00CB17C3" w:rsidRPr="00DA547B" w:rsidRDefault="00CB17C3" w:rsidP="00DA547B">
      <w:pPr>
        <w:pStyle w:val="FootnoteText"/>
        <w:ind w:left="567" w:hanging="567"/>
        <w:rPr>
          <w:rStyle w:val="Hyperlink"/>
          <w:sz w:val="24"/>
          <w:lang w:val="bg-BG"/>
        </w:rPr>
      </w:pPr>
      <w:r w:rsidRPr="00DA547B">
        <w:rPr>
          <w:rStyle w:val="FootnoteReference"/>
          <w:sz w:val="24"/>
          <w:lang w:val="bg-BG"/>
        </w:rPr>
        <w:footnoteRef/>
      </w:r>
      <w:r w:rsidR="00DA547B" w:rsidRPr="00DA547B">
        <w:rPr>
          <w:sz w:val="24"/>
          <w:lang w:val="bg-BG"/>
        </w:rPr>
        <w:t xml:space="preserve"> </w:t>
      </w:r>
      <w:r w:rsidR="00DA547B" w:rsidRPr="00DA547B">
        <w:rPr>
          <w:sz w:val="24"/>
          <w:lang w:val="bg-BG"/>
        </w:rPr>
        <w:tab/>
      </w:r>
      <w:r w:rsidRPr="00DA547B">
        <w:rPr>
          <w:sz w:val="24"/>
          <w:lang w:val="bg-BG"/>
        </w:rPr>
        <w:t xml:space="preserve">OВ L, 2025/31, 27.2.2025 г., ELI: </w:t>
      </w:r>
      <w:hyperlink r:id="rId2" w:history="1">
        <w:r w:rsidRPr="00DA547B">
          <w:rPr>
            <w:rStyle w:val="Hyperlink"/>
            <w:sz w:val="24"/>
            <w:lang w:val="bg-BG"/>
          </w:rPr>
          <w:t>http://data.europa.eu/eli/budget/2025/31/oj</w:t>
        </w:r>
      </w:hyperlink>
      <w:r w:rsidRPr="00DA547B">
        <w:rPr>
          <w:rStyle w:val="Hyperlink"/>
          <w:sz w:val="24"/>
          <w:lang w:val="bg-BG"/>
        </w:rPr>
        <w:t>.</w:t>
      </w:r>
    </w:p>
  </w:footnote>
  <w:footnote w:id="3">
    <w:p w14:paraId="6026F7EC" w14:textId="02B67F53" w:rsidR="00CB17C3" w:rsidRPr="00DA547B" w:rsidRDefault="00CB17C3" w:rsidP="00DA547B">
      <w:pPr>
        <w:pStyle w:val="FootnoteText"/>
        <w:ind w:left="567" w:hanging="567"/>
        <w:rPr>
          <w:rStyle w:val="Hyperlink"/>
          <w:sz w:val="24"/>
          <w:lang w:val="bg-BG"/>
        </w:rPr>
      </w:pPr>
      <w:r w:rsidRPr="00DA547B">
        <w:rPr>
          <w:rStyle w:val="FootnoteReference"/>
          <w:sz w:val="24"/>
          <w:lang w:val="bg-BG"/>
        </w:rPr>
        <w:footnoteRef/>
      </w:r>
      <w:r w:rsidR="00DA547B" w:rsidRPr="00DA547B">
        <w:rPr>
          <w:sz w:val="24"/>
          <w:lang w:val="bg-BG"/>
        </w:rPr>
        <w:t xml:space="preserve"> </w:t>
      </w:r>
      <w:r w:rsidR="00DA547B" w:rsidRPr="00DA547B">
        <w:rPr>
          <w:sz w:val="24"/>
          <w:lang w:val="bg-BG"/>
        </w:rPr>
        <w:tab/>
      </w:r>
      <w:r w:rsidRPr="00DA547B">
        <w:rPr>
          <w:sz w:val="24"/>
          <w:lang w:val="bg-BG"/>
        </w:rPr>
        <w:t xml:space="preserve">ОВ L 433 I, 22.12.2020 г., стр. 11, ELI: </w:t>
      </w:r>
      <w:hyperlink r:id="rId3" w:history="1">
        <w:r w:rsidRPr="00DA547B">
          <w:rPr>
            <w:rStyle w:val="Hyperlink"/>
            <w:sz w:val="24"/>
            <w:lang w:val="bg-BG"/>
          </w:rPr>
          <w:t>http://data.europa.eu/eli/reg/2020/433/oj</w:t>
        </w:r>
      </w:hyperlink>
      <w:r w:rsidRPr="00DA547B">
        <w:rPr>
          <w:rStyle w:val="Hyperlink"/>
          <w:sz w:val="24"/>
          <w:lang w:val="bg-BG"/>
        </w:rPr>
        <w:t>.</w:t>
      </w:r>
    </w:p>
  </w:footnote>
  <w:footnote w:id="4">
    <w:p w14:paraId="52020D19" w14:textId="496923FC" w:rsidR="00CB17C3" w:rsidRPr="00DA547B" w:rsidRDefault="00CB17C3" w:rsidP="00DA547B">
      <w:pPr>
        <w:pStyle w:val="FootnoteText"/>
        <w:ind w:left="567" w:hanging="567"/>
        <w:rPr>
          <w:sz w:val="24"/>
          <w:lang w:val="bg-BG"/>
        </w:rPr>
      </w:pPr>
      <w:r w:rsidRPr="00DA547B">
        <w:rPr>
          <w:rStyle w:val="FootnoteReference"/>
          <w:sz w:val="24"/>
          <w:lang w:val="bg-BG"/>
        </w:rPr>
        <w:footnoteRef/>
      </w:r>
      <w:r w:rsidR="00DA547B" w:rsidRPr="00DA547B">
        <w:rPr>
          <w:sz w:val="24"/>
          <w:lang w:val="bg-BG"/>
        </w:rPr>
        <w:t xml:space="preserve"> </w:t>
      </w:r>
      <w:r w:rsidR="00DA547B" w:rsidRPr="00DA547B">
        <w:rPr>
          <w:sz w:val="24"/>
          <w:lang w:val="bg-BG"/>
        </w:rPr>
        <w:tab/>
      </w:r>
      <w:r w:rsidRPr="00DA547B">
        <w:rPr>
          <w:sz w:val="24"/>
          <w:lang w:val="bg-BG"/>
        </w:rPr>
        <w:t xml:space="preserve">OВ L 433 I, 22.12.2020 г., стр. 28, ELI: </w:t>
      </w:r>
      <w:hyperlink r:id="rId4" w:history="1">
        <w:r w:rsidRPr="00DA547B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DA547B">
        <w:rPr>
          <w:rStyle w:val="Hyperlink"/>
          <w:sz w:val="24"/>
          <w:lang w:val="bg-BG"/>
        </w:rPr>
        <w:t>.</w:t>
      </w:r>
    </w:p>
  </w:footnote>
  <w:footnote w:id="5">
    <w:p w14:paraId="33BD554B" w14:textId="612A14E0" w:rsidR="00CB17C3" w:rsidRPr="00DA547B" w:rsidRDefault="00CB17C3" w:rsidP="00DA547B">
      <w:pPr>
        <w:pStyle w:val="FootnoteText"/>
        <w:ind w:left="567" w:hanging="567"/>
        <w:rPr>
          <w:sz w:val="24"/>
          <w:lang w:val="bg-BG"/>
        </w:rPr>
      </w:pPr>
      <w:r w:rsidRPr="00DA547B">
        <w:rPr>
          <w:rStyle w:val="FootnoteReference"/>
          <w:sz w:val="24"/>
          <w:lang w:val="bg-BG"/>
        </w:rPr>
        <w:footnoteRef/>
      </w:r>
      <w:r w:rsidR="00DA547B" w:rsidRPr="00DA547B">
        <w:rPr>
          <w:sz w:val="24"/>
          <w:lang w:val="bg-BG"/>
        </w:rPr>
        <w:t xml:space="preserve"> </w:t>
      </w:r>
      <w:r w:rsidR="00DA547B" w:rsidRPr="00DA547B">
        <w:rPr>
          <w:sz w:val="24"/>
          <w:lang w:val="bg-BG"/>
        </w:rPr>
        <w:tab/>
      </w:r>
      <w:r w:rsidRPr="00DA547B">
        <w:rPr>
          <w:sz w:val="24"/>
          <w:lang w:val="bg-BG"/>
        </w:rPr>
        <w:t xml:space="preserve">OВ L 424, 15.12.2020 г., стр. 1, ELI: </w:t>
      </w:r>
      <w:hyperlink r:id="rId5" w:history="1">
        <w:r w:rsidRPr="00DA547B">
          <w:rPr>
            <w:rStyle w:val="Hyperlink"/>
            <w:sz w:val="24"/>
            <w:lang w:val="bg-BG"/>
          </w:rPr>
          <w:t>http://data.europa.eu/eli/dec/2020/2053/oj</w:t>
        </w:r>
      </w:hyperlink>
      <w:r w:rsidRPr="00DA547B">
        <w:rPr>
          <w:rStyle w:val="Hyperlink"/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AEFDD" w14:textId="77777777" w:rsidR="00064002" w:rsidRPr="00DA54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DFCE" w14:textId="77777777" w:rsidR="00064002" w:rsidRPr="00DA54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1D2C" w14:textId="77777777" w:rsidR="00064002" w:rsidRPr="00DA54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2950293">
    <w:abstractNumId w:val="9"/>
  </w:num>
  <w:num w:numId="2" w16cid:durableId="1903055328">
    <w:abstractNumId w:val="9"/>
  </w:num>
  <w:num w:numId="3" w16cid:durableId="1120952530">
    <w:abstractNumId w:val="7"/>
  </w:num>
  <w:num w:numId="4" w16cid:durableId="542598685">
    <w:abstractNumId w:val="7"/>
  </w:num>
  <w:num w:numId="5" w16cid:durableId="1988126798">
    <w:abstractNumId w:val="6"/>
  </w:num>
  <w:num w:numId="6" w16cid:durableId="1468860815">
    <w:abstractNumId w:val="6"/>
  </w:num>
  <w:num w:numId="7" w16cid:durableId="745960266">
    <w:abstractNumId w:val="5"/>
  </w:num>
  <w:num w:numId="8" w16cid:durableId="967975241">
    <w:abstractNumId w:val="5"/>
  </w:num>
  <w:num w:numId="9" w16cid:durableId="657609680">
    <w:abstractNumId w:val="4"/>
  </w:num>
  <w:num w:numId="10" w16cid:durableId="1985088627">
    <w:abstractNumId w:val="4"/>
  </w:num>
  <w:num w:numId="11" w16cid:durableId="1884514071">
    <w:abstractNumId w:val="8"/>
  </w:num>
  <w:num w:numId="12" w16cid:durableId="984238993">
    <w:abstractNumId w:val="8"/>
  </w:num>
  <w:num w:numId="13" w16cid:durableId="2080395594">
    <w:abstractNumId w:val="3"/>
  </w:num>
  <w:num w:numId="14" w16cid:durableId="1959873518">
    <w:abstractNumId w:val="3"/>
  </w:num>
  <w:num w:numId="15" w16cid:durableId="135219143">
    <w:abstractNumId w:val="2"/>
  </w:num>
  <w:num w:numId="16" w16cid:durableId="1547183963">
    <w:abstractNumId w:val="2"/>
  </w:num>
  <w:num w:numId="17" w16cid:durableId="365955077">
    <w:abstractNumId w:val="1"/>
  </w:num>
  <w:num w:numId="18" w16cid:durableId="487332094">
    <w:abstractNumId w:val="1"/>
  </w:num>
  <w:num w:numId="19" w16cid:durableId="251549277">
    <w:abstractNumId w:val="0"/>
  </w:num>
  <w:num w:numId="20" w16cid:durableId="1142383814">
    <w:abstractNumId w:val="0"/>
  </w:num>
  <w:num w:numId="21" w16cid:durableId="788864208">
    <w:abstractNumId w:val="9"/>
  </w:num>
  <w:num w:numId="22" w16cid:durableId="509486836">
    <w:abstractNumId w:val="7"/>
  </w:num>
  <w:num w:numId="23" w16cid:durableId="713426944">
    <w:abstractNumId w:val="6"/>
  </w:num>
  <w:num w:numId="24" w16cid:durableId="1764450216">
    <w:abstractNumId w:val="5"/>
  </w:num>
  <w:num w:numId="25" w16cid:durableId="1109281683">
    <w:abstractNumId w:val="4"/>
  </w:num>
  <w:num w:numId="26" w16cid:durableId="933050499">
    <w:abstractNumId w:val="8"/>
  </w:num>
  <w:num w:numId="27" w16cid:durableId="573861089">
    <w:abstractNumId w:val="3"/>
  </w:num>
  <w:num w:numId="28" w16cid:durableId="1754085841">
    <w:abstractNumId w:val="2"/>
  </w:num>
  <w:num w:numId="29" w16cid:durableId="98061944">
    <w:abstractNumId w:val="1"/>
  </w:num>
  <w:num w:numId="30" w16cid:durableId="782925570">
    <w:abstractNumId w:val="0"/>
  </w:num>
  <w:num w:numId="31" w16cid:durableId="101154066">
    <w:abstractNumId w:val="9"/>
  </w:num>
  <w:num w:numId="32" w16cid:durableId="1133215511">
    <w:abstractNumId w:val="7"/>
  </w:num>
  <w:num w:numId="33" w16cid:durableId="898173963">
    <w:abstractNumId w:val="6"/>
  </w:num>
  <w:num w:numId="34" w16cid:durableId="2057973737">
    <w:abstractNumId w:val="5"/>
  </w:num>
  <w:num w:numId="35" w16cid:durableId="217136716">
    <w:abstractNumId w:val="4"/>
  </w:num>
  <w:num w:numId="36" w16cid:durableId="135801633">
    <w:abstractNumId w:val="8"/>
  </w:num>
  <w:num w:numId="37" w16cid:durableId="1304041705">
    <w:abstractNumId w:val="3"/>
  </w:num>
  <w:num w:numId="38" w16cid:durableId="1213735008">
    <w:abstractNumId w:val="2"/>
  </w:num>
  <w:num w:numId="39" w16cid:durableId="2086798601">
    <w:abstractNumId w:val="1"/>
  </w:num>
  <w:num w:numId="40" w16cid:durableId="1854687379">
    <w:abstractNumId w:val="0"/>
  </w:num>
  <w:num w:numId="41" w16cid:durableId="2068646298">
    <w:abstractNumId w:val="10"/>
  </w:num>
  <w:num w:numId="42" w16cid:durableId="1521314420">
    <w:abstractNumId w:val="10"/>
  </w:num>
  <w:num w:numId="43" w16cid:durableId="1230850052">
    <w:abstractNumId w:val="10"/>
  </w:num>
  <w:num w:numId="44" w16cid:durableId="21419163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BG"/>
    <w:docVar w:name="dvnumam" w:val="0"/>
    <w:docVar w:name="dvpe" w:val="776.838"/>
    <w:docVar w:name="dvrapporteur" w:val="Докладчик: "/>
    <w:docVar w:name="dvtitre" w:val="Резолюция на Европейския парламент от ... 2025 г. относно позицията на Съвета относно проект на коригиращ бюджет № 2/2025 на Европейския съюз за финансовата 2025 година – Актуализация на приходите (собствените ресурси) и корекции на разходите(12353/2025 – C10-0209/2025 – 2025/0206(BUD))"/>
  </w:docVars>
  <w:rsids>
    <w:rsidRoot w:val="008355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0B7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471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45B"/>
    <w:rsid w:val="007D1690"/>
    <w:rsid w:val="007E22AD"/>
    <w:rsid w:val="00817416"/>
    <w:rsid w:val="0083551C"/>
    <w:rsid w:val="00842779"/>
    <w:rsid w:val="00865F67"/>
    <w:rsid w:val="00881A7B"/>
    <w:rsid w:val="008840E5"/>
    <w:rsid w:val="00887B3E"/>
    <w:rsid w:val="00894179"/>
    <w:rsid w:val="008C2AC6"/>
    <w:rsid w:val="00930C23"/>
    <w:rsid w:val="0093193B"/>
    <w:rsid w:val="009509D8"/>
    <w:rsid w:val="00950B64"/>
    <w:rsid w:val="00981893"/>
    <w:rsid w:val="00A00F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7C3"/>
    <w:rsid w:val="00CC2357"/>
    <w:rsid w:val="00CF071A"/>
    <w:rsid w:val="00D058B8"/>
    <w:rsid w:val="00D56C11"/>
    <w:rsid w:val="00D834A0"/>
    <w:rsid w:val="00D872DF"/>
    <w:rsid w:val="00D91E21"/>
    <w:rsid w:val="00DA547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C62C5"/>
  <w15:chartTrackingRefBased/>
  <w15:docId w15:val="{067B3444-AF5F-480E-9138-FE4C0A58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17C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B17C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B17C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B17C3"/>
    <w:rPr>
      <w:sz w:val="24"/>
      <w:lang w:val="bg-BG"/>
    </w:rPr>
  </w:style>
  <w:style w:type="paragraph" w:styleId="Revision">
    <w:name w:val="Revision"/>
    <w:hidden/>
    <w:uiPriority w:val="99"/>
    <w:semiHidden/>
    <w:rsid w:val="0052347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1405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2025-10-08T12:39:00Z</dcterms:created>
  <dcterms:modified xsi:type="dcterms:W3CDTF">2025-10-08T12:39:00Z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A10-0165/2025</vt:lpwstr>
  </property>
  <property fmtid="{D5CDD505-2E9C-101B-9397-08002B2CF9AE}" pid="4" name="&lt;Type&gt;">
    <vt:lpwstr>RR</vt:lpwstr>
  </property>
</Properties>
</file>