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1DE6" w14:paraId="47C54AA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FEE8A5" w14:textId="2D5B54FF" w:rsidR="00751A4A" w:rsidRPr="00321DE6" w:rsidRDefault="002E1D33" w:rsidP="0010095E">
            <w:pPr>
              <w:pStyle w:val="EPName"/>
            </w:pPr>
            <w:r w:rsidRPr="00321DE6">
              <w:t>Evropský parlament</w:t>
            </w:r>
          </w:p>
          <w:p w14:paraId="442FE9A4" w14:textId="77777777" w:rsidR="00751A4A" w:rsidRPr="00321DE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1DE6">
              <w:t>2024</w:t>
            </w:r>
            <w:r w:rsidR="00817416" w:rsidRPr="00321DE6">
              <w:t>-202</w:t>
            </w:r>
            <w:r w:rsidRPr="00321DE6">
              <w:t>9</w:t>
            </w:r>
          </w:p>
        </w:tc>
        <w:tc>
          <w:tcPr>
            <w:tcW w:w="2268" w:type="dxa"/>
            <w:shd w:val="clear" w:color="auto" w:fill="auto"/>
          </w:tcPr>
          <w:p w14:paraId="7D232166" w14:textId="77777777" w:rsidR="00751A4A" w:rsidRPr="00321DE6" w:rsidRDefault="00187494" w:rsidP="0010095E">
            <w:pPr>
              <w:pStyle w:val="EPLogo"/>
            </w:pPr>
            <w:r w:rsidRPr="00321DE6">
              <w:rPr>
                <w:noProof/>
                <w:lang w:eastAsia="ja-JP"/>
              </w:rPr>
              <w:drawing>
                <wp:inline distT="0" distB="0" distL="0" distR="0" wp14:anchorId="190CE006" wp14:editId="1DFB164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CEBC2A" w14:textId="77777777" w:rsidR="00D058B8" w:rsidRPr="00321DE6" w:rsidRDefault="00D058B8" w:rsidP="004C5D52">
      <w:pPr>
        <w:pStyle w:val="LineTop"/>
      </w:pPr>
    </w:p>
    <w:p w14:paraId="741597FB" w14:textId="45914BD4" w:rsidR="00680577" w:rsidRPr="00321DE6" w:rsidRDefault="002E1D33" w:rsidP="00680577">
      <w:pPr>
        <w:pStyle w:val="EPBodyTA1"/>
      </w:pPr>
      <w:r w:rsidRPr="00321DE6">
        <w:t>PŘIJATÉ TEXTY</w:t>
      </w:r>
    </w:p>
    <w:p w14:paraId="7B747AC8" w14:textId="77777777" w:rsidR="00D058B8" w:rsidRPr="00321DE6" w:rsidRDefault="00D058B8" w:rsidP="00D058B8">
      <w:pPr>
        <w:pStyle w:val="LineBottom"/>
      </w:pPr>
    </w:p>
    <w:p w14:paraId="7EE897E3" w14:textId="4ECF3C99" w:rsidR="002E1D33" w:rsidRPr="00321DE6" w:rsidRDefault="002E1D33" w:rsidP="002E1D33">
      <w:pPr>
        <w:pStyle w:val="ATHeading1"/>
      </w:pPr>
      <w:bookmarkStart w:id="0" w:name="TANumber"/>
      <w:r w:rsidRPr="00321DE6">
        <w:t>P10_</w:t>
      </w:r>
      <w:proofErr w:type="gramStart"/>
      <w:r w:rsidRPr="00321DE6">
        <w:t>TA(</w:t>
      </w:r>
      <w:proofErr w:type="gramEnd"/>
      <w:r w:rsidRPr="00321DE6">
        <w:t>2025)0</w:t>
      </w:r>
      <w:r w:rsidR="00C414AB">
        <w:t>218</w:t>
      </w:r>
      <w:bookmarkEnd w:id="0"/>
    </w:p>
    <w:p w14:paraId="798E549A" w14:textId="6DC3FB3F" w:rsidR="002E1D33" w:rsidRPr="00321DE6" w:rsidRDefault="002E1D33" w:rsidP="002E1D33">
      <w:pPr>
        <w:pStyle w:val="ATHeading2"/>
      </w:pPr>
      <w:bookmarkStart w:id="1" w:name="title"/>
      <w:r w:rsidRPr="00321DE6">
        <w:t>Návrh opravného rozpočtu č. 2</w:t>
      </w:r>
      <w:r w:rsidR="00F94B2B">
        <w:t>/2025</w:t>
      </w:r>
      <w:r w:rsidRPr="00321DE6">
        <w:t xml:space="preserve"> </w:t>
      </w:r>
      <w:r w:rsidR="00223E10" w:rsidRPr="00223E10">
        <w:t xml:space="preserve">k souhrnnému rozpočtu na rok </w:t>
      </w:r>
      <w:r w:rsidRPr="00321DE6">
        <w:t xml:space="preserve">2025 – </w:t>
      </w:r>
      <w:r w:rsidR="00B65549">
        <w:t>a</w:t>
      </w:r>
      <w:r w:rsidRPr="00321DE6">
        <w:t>ktualizace příjmů (vlastní</w:t>
      </w:r>
      <w:r w:rsidR="00B65549">
        <w:t>ch</w:t>
      </w:r>
      <w:r w:rsidRPr="00321DE6">
        <w:t xml:space="preserve"> zdroj</w:t>
      </w:r>
      <w:r w:rsidR="00B65549">
        <w:t>ů</w:t>
      </w:r>
      <w:r w:rsidRPr="00321DE6">
        <w:t>) a úpravy výdajů</w:t>
      </w:r>
      <w:bookmarkEnd w:id="1"/>
    </w:p>
    <w:p w14:paraId="70CB593A" w14:textId="77777777" w:rsidR="002E1D33" w:rsidRPr="00321DE6" w:rsidRDefault="002E1D33" w:rsidP="002E1D33">
      <w:pPr>
        <w:rPr>
          <w:i/>
          <w:vanish/>
        </w:rPr>
      </w:pPr>
      <w:r w:rsidRPr="00321DE6">
        <w:rPr>
          <w:i/>
        </w:rPr>
        <w:fldChar w:fldCharType="begin"/>
      </w:r>
      <w:r w:rsidRPr="00321DE6">
        <w:rPr>
          <w:i/>
        </w:rPr>
        <w:instrText xml:space="preserve"> TC"(</w:instrText>
      </w:r>
      <w:bookmarkStart w:id="2" w:name="DocNumber"/>
      <w:r w:rsidRPr="00321DE6">
        <w:rPr>
          <w:i/>
        </w:rPr>
        <w:instrText>A10-0165/2025</w:instrText>
      </w:r>
      <w:bookmarkEnd w:id="2"/>
      <w:r w:rsidRPr="00321DE6">
        <w:rPr>
          <w:i/>
        </w:rPr>
        <w:instrText xml:space="preserve"> - Zpravodaj: Victor Negrescu)"\l3 \n&gt; \* MERGEFORMAT </w:instrText>
      </w:r>
      <w:r w:rsidRPr="00321DE6">
        <w:rPr>
          <w:i/>
        </w:rPr>
        <w:fldChar w:fldCharType="end"/>
      </w:r>
    </w:p>
    <w:p w14:paraId="6C6E79BC" w14:textId="77777777" w:rsidR="002E1D33" w:rsidRPr="00321DE6" w:rsidRDefault="002E1D33" w:rsidP="002E1D33">
      <w:pPr>
        <w:rPr>
          <w:vanish/>
        </w:rPr>
      </w:pPr>
      <w:bookmarkStart w:id="3" w:name="Commission"/>
      <w:r w:rsidRPr="00321DE6">
        <w:rPr>
          <w:vanish/>
        </w:rPr>
        <w:t>Rozpočtový výbor</w:t>
      </w:r>
      <w:bookmarkEnd w:id="3"/>
    </w:p>
    <w:p w14:paraId="3934975E" w14:textId="77777777" w:rsidR="002E1D33" w:rsidRPr="00321DE6" w:rsidRDefault="002E1D33" w:rsidP="002E1D33">
      <w:pPr>
        <w:rPr>
          <w:vanish/>
        </w:rPr>
      </w:pPr>
      <w:bookmarkStart w:id="4" w:name="PE"/>
      <w:r w:rsidRPr="00321DE6">
        <w:rPr>
          <w:vanish/>
        </w:rPr>
        <w:t>PE776.838</w:t>
      </w:r>
      <w:bookmarkEnd w:id="4"/>
    </w:p>
    <w:p w14:paraId="4D5A1E4A" w14:textId="2C7DF2AB" w:rsidR="002E1D33" w:rsidRPr="00321DE6" w:rsidRDefault="002E1D33" w:rsidP="00223E10">
      <w:pPr>
        <w:pStyle w:val="ATHeading3"/>
      </w:pPr>
      <w:bookmarkStart w:id="5" w:name="Sujet"/>
      <w:r w:rsidRPr="00321DE6">
        <w:t>Usnesení Evropského parlamentu ze dne 8. října 2025 o postoji Rady k návrhu opravného rozpočtu Evropské unie č. 2/2025 na rozpočtový rok 2025 – aktualizace příjmů (vlastních zdrojů) a úpravy výdajů</w:t>
      </w:r>
      <w:bookmarkEnd w:id="5"/>
      <w:r w:rsidRPr="00321DE6">
        <w:t xml:space="preserve"> </w:t>
      </w:r>
      <w:bookmarkStart w:id="6" w:name="References"/>
      <w:r w:rsidRPr="00321DE6">
        <w:t>(12353/2025 – C10-0209/2025 – 2025/0206(BUD))</w:t>
      </w:r>
      <w:bookmarkEnd w:id="6"/>
    </w:p>
    <w:p w14:paraId="589D0F82" w14:textId="77777777" w:rsidR="003E2B77" w:rsidRPr="00321DE6" w:rsidRDefault="003E2B77" w:rsidP="00DE0C37">
      <w:pPr>
        <w:pStyle w:val="NormalBold"/>
        <w:spacing w:before="360" w:after="240"/>
        <w:rPr>
          <w:b w:val="0"/>
          <w:bCs/>
          <w:i/>
          <w:iCs/>
        </w:rPr>
      </w:pPr>
      <w:bookmarkStart w:id="7" w:name="TextBodyBegin"/>
      <w:bookmarkEnd w:id="7"/>
      <w:r w:rsidRPr="00321DE6">
        <w:rPr>
          <w:b w:val="0"/>
          <w:bCs/>
          <w:i/>
          <w:iCs/>
        </w:rPr>
        <w:t>Evropský parlament,</w:t>
      </w:r>
    </w:p>
    <w:p w14:paraId="7B00E3A5" w14:textId="77777777" w:rsidR="003E2B77" w:rsidRPr="00321DE6" w:rsidRDefault="003E2B77" w:rsidP="00321DE6">
      <w:pPr>
        <w:pStyle w:val="NormalHanging12a"/>
      </w:pPr>
      <w:r w:rsidRPr="00321DE6">
        <w:t>–</w:t>
      </w:r>
      <w:r w:rsidRPr="00321DE6">
        <w:tab/>
        <w:t>s ohledem na článek 314 Smlouvy o fungování Evropské unie,</w:t>
      </w:r>
    </w:p>
    <w:p w14:paraId="6C2A375C" w14:textId="77777777" w:rsidR="003E2B77" w:rsidRPr="00321DE6" w:rsidRDefault="003E2B77" w:rsidP="00321DE6">
      <w:pPr>
        <w:pStyle w:val="NormalHanging12a"/>
      </w:pPr>
      <w:r w:rsidRPr="00321DE6">
        <w:t>–</w:t>
      </w:r>
      <w:r w:rsidRPr="00321DE6">
        <w:tab/>
        <w:t>s ohledem na článek 106a Smlouvy o založení Evropského společenství pro atomovou energii,</w:t>
      </w:r>
    </w:p>
    <w:p w14:paraId="2A9ABF88" w14:textId="77777777" w:rsidR="003E2B77" w:rsidRPr="00321DE6" w:rsidRDefault="003E2B77" w:rsidP="00321DE6">
      <w:pPr>
        <w:pStyle w:val="NormalHanging12a"/>
      </w:pPr>
      <w:r w:rsidRPr="00321DE6">
        <w:t>–</w:t>
      </w:r>
      <w:r w:rsidRPr="00321DE6">
        <w:tab/>
        <w:t>s ohledem na nařízení Evropského parlamentu a Rady (EU, Euratom) 2024/2509 ze dne 23. září 2024, kterým se stanoví finanční pravidla pro souhrnný rozpočet Unie</w:t>
      </w:r>
      <w:r w:rsidRPr="00321DE6">
        <w:rPr>
          <w:rStyle w:val="FootnoteReference"/>
        </w:rPr>
        <w:footnoteReference w:id="1"/>
      </w:r>
      <w:r w:rsidRPr="00321DE6">
        <w:t>, a zejména na článek 44 tohoto nařízení,</w:t>
      </w:r>
    </w:p>
    <w:p w14:paraId="0DB288AB" w14:textId="77777777" w:rsidR="003E2B77" w:rsidRPr="00321DE6" w:rsidRDefault="003E2B77" w:rsidP="00321DE6">
      <w:pPr>
        <w:pStyle w:val="NormalHanging12a"/>
      </w:pPr>
      <w:r w:rsidRPr="00321DE6">
        <w:t>–</w:t>
      </w:r>
      <w:r w:rsidRPr="00321DE6">
        <w:tab/>
        <w:t>s ohledem na souhrnný rozpočet Evropské unie na rozpočtový rok 2025 přijatý s konečnou platností dne 27. listopadu 2024</w:t>
      </w:r>
      <w:r w:rsidRPr="00321DE6">
        <w:rPr>
          <w:rStyle w:val="FootnoteReference"/>
        </w:rPr>
        <w:footnoteReference w:id="2"/>
      </w:r>
      <w:r w:rsidRPr="00321DE6">
        <w:t>,</w:t>
      </w:r>
    </w:p>
    <w:p w14:paraId="1531CDCF" w14:textId="77777777" w:rsidR="003E2B77" w:rsidRPr="00321DE6" w:rsidRDefault="003E2B77" w:rsidP="00321DE6">
      <w:pPr>
        <w:pStyle w:val="NormalHanging12a"/>
      </w:pPr>
      <w:r w:rsidRPr="00321DE6">
        <w:t>–</w:t>
      </w:r>
      <w:r w:rsidRPr="00321DE6">
        <w:tab/>
        <w:t>s ohledem na nařízení Rady (EU, Euratom) 2020/2093 ze dne 17. prosince 2020, kterým se stanoví víceletý finanční rámec na období 2021–2027</w:t>
      </w:r>
      <w:r w:rsidRPr="00321DE6">
        <w:rPr>
          <w:rStyle w:val="FootnoteReference"/>
        </w:rPr>
        <w:footnoteReference w:id="3"/>
      </w:r>
      <w:r w:rsidRPr="00321DE6">
        <w:t>,</w:t>
      </w:r>
    </w:p>
    <w:p w14:paraId="32B12ED4" w14:textId="77777777" w:rsidR="003E2B77" w:rsidRPr="00321DE6" w:rsidRDefault="003E2B77" w:rsidP="00321DE6">
      <w:pPr>
        <w:pStyle w:val="NormalHanging12a"/>
      </w:pPr>
      <w:r w:rsidRPr="00321DE6">
        <w:t>–</w:t>
      </w:r>
      <w:r w:rsidRPr="00321DE6">
        <w:tab/>
        <w:t>s ohledem na interinstitucionální dohodu ze dne 16. prosince 2020 mezi Evropským parlamentem, Radou Evropské unie a Evropskou komisí o rozpočtové kázni, spolupráci v rozpočtových záležitostech a řádném finančním řízení, jakož i o nových vlastních zdrojích, včetně plánu zavádění nových vlastních zdrojů</w:t>
      </w:r>
      <w:r w:rsidRPr="00321DE6">
        <w:rPr>
          <w:rStyle w:val="FootnoteReference"/>
        </w:rPr>
        <w:footnoteReference w:id="4"/>
      </w:r>
      <w:r w:rsidRPr="00321DE6">
        <w:t>,</w:t>
      </w:r>
    </w:p>
    <w:p w14:paraId="525E506F" w14:textId="77777777" w:rsidR="003E2B77" w:rsidRPr="00321DE6" w:rsidRDefault="003E2B77" w:rsidP="00321DE6">
      <w:pPr>
        <w:pStyle w:val="NormalHanging12a"/>
      </w:pPr>
      <w:r w:rsidRPr="00321DE6">
        <w:t>–</w:t>
      </w:r>
      <w:r w:rsidRPr="00321DE6">
        <w:tab/>
        <w:t xml:space="preserve">s ohledem na rozhodnutí Rady (EU, Euratom) 2020/2053 ze dne 14. prosince 2020 </w:t>
      </w:r>
      <w:r w:rsidRPr="00321DE6">
        <w:lastRenderedPageBreak/>
        <w:t>o systému vlastních zdrojů Evropské unie a o zrušení rozhodnutí 2014/335/EU, Euratom</w:t>
      </w:r>
      <w:r w:rsidRPr="00321DE6">
        <w:rPr>
          <w:rStyle w:val="FootnoteReference"/>
        </w:rPr>
        <w:footnoteReference w:id="5"/>
      </w:r>
      <w:r w:rsidRPr="00321DE6">
        <w:t>,</w:t>
      </w:r>
    </w:p>
    <w:p w14:paraId="07408EDD" w14:textId="77777777" w:rsidR="003E2B77" w:rsidRPr="00321DE6" w:rsidRDefault="003E2B77" w:rsidP="00321DE6">
      <w:pPr>
        <w:pStyle w:val="NormalHanging12a"/>
      </w:pPr>
      <w:r w:rsidRPr="00321DE6">
        <w:t>–</w:t>
      </w:r>
      <w:r w:rsidRPr="00321DE6">
        <w:tab/>
        <w:t>s ohledem na návrh opravného rozpočtu č. 2/2025, který Komise přijala dne 4. července 2025 (</w:t>
      </w:r>
      <w:proofErr w:type="gramStart"/>
      <w:r w:rsidRPr="00321DE6">
        <w:t>COM(</w:t>
      </w:r>
      <w:proofErr w:type="gramEnd"/>
      <w:r w:rsidRPr="00321DE6">
        <w:t>2025)0410),</w:t>
      </w:r>
    </w:p>
    <w:p w14:paraId="52B57446" w14:textId="77777777" w:rsidR="003E2B77" w:rsidRPr="00321DE6" w:rsidRDefault="003E2B77" w:rsidP="00321DE6">
      <w:pPr>
        <w:pStyle w:val="NormalHanging12a"/>
      </w:pPr>
      <w:r w:rsidRPr="00321DE6">
        <w:t>–</w:t>
      </w:r>
      <w:r w:rsidRPr="00321DE6">
        <w:tab/>
        <w:t>s ohledem na postoj k návrhu opravného rozpočtu č. 2/2025, který Rada přijala dne 16. září 2025 a postoupila Evropskému parlamentu dne 17. září 2025 (12353/2025 – C10</w:t>
      </w:r>
      <w:r w:rsidRPr="00321DE6">
        <w:noBreakHyphen/>
        <w:t>0209/2025),</w:t>
      </w:r>
    </w:p>
    <w:p w14:paraId="163A7FEB" w14:textId="77777777" w:rsidR="003E2B77" w:rsidRPr="00321DE6" w:rsidRDefault="003E2B77" w:rsidP="00321DE6">
      <w:pPr>
        <w:pStyle w:val="NormalHanging12a"/>
      </w:pPr>
      <w:r w:rsidRPr="00321DE6">
        <w:t>–</w:t>
      </w:r>
      <w:r w:rsidRPr="00321DE6">
        <w:tab/>
        <w:t>s ohledem na články 96 a 98 jednacího řádu,</w:t>
      </w:r>
    </w:p>
    <w:p w14:paraId="5D4A0FB8" w14:textId="77777777" w:rsidR="003E2B77" w:rsidRPr="00321DE6" w:rsidRDefault="003E2B77" w:rsidP="00321DE6">
      <w:pPr>
        <w:pStyle w:val="NormalHanging12a"/>
      </w:pPr>
      <w:r w:rsidRPr="00321DE6">
        <w:t>–</w:t>
      </w:r>
      <w:r w:rsidRPr="00321DE6">
        <w:tab/>
        <w:t>s ohledem na zprávu Rozpočtového výboru (A10</w:t>
      </w:r>
      <w:r w:rsidRPr="00321DE6">
        <w:noBreakHyphen/>
        <w:t>0165/2025),</w:t>
      </w:r>
    </w:p>
    <w:p w14:paraId="7D49EC44" w14:textId="77777777" w:rsidR="003E2B77" w:rsidRPr="00321DE6" w:rsidRDefault="003E2B77" w:rsidP="00321DE6">
      <w:pPr>
        <w:pStyle w:val="NormalHanging12a"/>
      </w:pPr>
      <w:r w:rsidRPr="00321DE6">
        <w:t>A.</w:t>
      </w:r>
      <w:r w:rsidRPr="00321DE6">
        <w:tab/>
        <w:t xml:space="preserve">vzhledem k tomu, že cílem návrhu opravného rozpočtu č. 2/2025 je aktualizovat příjmovou stranu rozpočtu s ohledem na nejnovější </w:t>
      </w:r>
      <w:proofErr w:type="gramStart"/>
      <w:r w:rsidRPr="00321DE6">
        <w:t>vývoj</w:t>
      </w:r>
      <w:proofErr w:type="gramEnd"/>
      <w:r w:rsidRPr="00321DE6">
        <w:t xml:space="preserve"> a navíc upravit výdajovou stranu rozpočtu ve vztahu k řadě výdajových položek;</w:t>
      </w:r>
    </w:p>
    <w:p w14:paraId="17F9F886" w14:textId="77777777" w:rsidR="003E2B77" w:rsidRPr="00321DE6" w:rsidRDefault="003E2B77" w:rsidP="00321DE6">
      <w:pPr>
        <w:pStyle w:val="NormalHanging12a"/>
      </w:pPr>
      <w:r w:rsidRPr="00321DE6">
        <w:t>B.</w:t>
      </w:r>
      <w:r w:rsidRPr="00321DE6">
        <w:tab/>
        <w:t xml:space="preserve">vzhledem k tomu, že návrh opravného rozpočtu č. 2/2025 zahrnuje revidované prognózy vlastních zdrojů v souvislosti s cly, </w:t>
      </w:r>
      <w:proofErr w:type="gramStart"/>
      <w:r w:rsidRPr="00321DE6">
        <w:t>které</w:t>
      </w:r>
      <w:proofErr w:type="gramEnd"/>
      <w:r w:rsidRPr="00321DE6">
        <w:t xml:space="preserve"> jsou o 1 % nižší než prognóza z května 2024, v souvislosti s limitovaným základem DPH, který je o 2,4 % nižší než prognóza z května 2024, nerecyklovanými plastovými obalovými odpady, které jsou o 3,5 % nižší než prognóza z května 2024, a celkovým základem HND EU, který je ve srovnání s prognózou z května 2024 vyšší o 0,5 %;</w:t>
      </w:r>
    </w:p>
    <w:p w14:paraId="6BBFDE0E" w14:textId="77777777" w:rsidR="003E2B77" w:rsidRPr="00321DE6" w:rsidRDefault="003E2B77" w:rsidP="00321DE6">
      <w:pPr>
        <w:pStyle w:val="NormalHanging12a"/>
      </w:pPr>
      <w:r w:rsidRPr="00321DE6">
        <w:t>C.</w:t>
      </w:r>
      <w:r w:rsidRPr="00321DE6">
        <w:tab/>
        <w:t>vzhledem k tomu, že návrh opravného rozpočtu č. 2/2025 rovněž aktualizuje příspěvek Spojeného království na rok 2025 podle dohody o vystoupení, který činí 1,53 miliardy EUR, což ve srovnání s odhadem zahrnutým v rozpočtu na rok 2025 představuje mírné snížení o 25 milionů EUR;</w:t>
      </w:r>
    </w:p>
    <w:p w14:paraId="3AB6B3D3" w14:textId="77777777" w:rsidR="003E2B77" w:rsidRPr="00321DE6" w:rsidRDefault="003E2B77" w:rsidP="00321DE6">
      <w:pPr>
        <w:pStyle w:val="NormalHanging12a"/>
      </w:pPr>
      <w:r w:rsidRPr="00321DE6">
        <w:t>D.</w:t>
      </w:r>
      <w:r w:rsidRPr="00321DE6">
        <w:tab/>
        <w:t>vzhledem k tomu, že v návrhu opravného rozpočtu č. 2/2025 se rovněž zohledňují pokuty, sankce za porušení a záporné výnosy vybrané do konce května 2025, což zvyšuje původní prognózu týkající se pokut a sankcí v rozpočtu na rok 2025 o 291 milionů EUR;</w:t>
      </w:r>
    </w:p>
    <w:p w14:paraId="0E1D7F7F" w14:textId="77777777" w:rsidR="003E2B77" w:rsidRPr="00321DE6" w:rsidRDefault="003E2B77" w:rsidP="00321DE6">
      <w:pPr>
        <w:pStyle w:val="NormalHanging12a"/>
      </w:pPr>
      <w:r w:rsidRPr="00321DE6">
        <w:t>E.</w:t>
      </w:r>
      <w:r w:rsidRPr="00321DE6">
        <w:tab/>
        <w:t>vzhledem k tomu, že pokud jde o stranu výdajů, návrh opravného rozpočtu č. 2/2025 navrhuje řadu aktualizací prostředků na závazky a na platby, zejména navýšení prostředků na platby o 3,5 miliardy EUR pro Evropský zemědělský fond pro rozvoj venkova;</w:t>
      </w:r>
    </w:p>
    <w:p w14:paraId="1CB0D673" w14:textId="77777777" w:rsidR="003E2B77" w:rsidRPr="00321DE6" w:rsidRDefault="003E2B77" w:rsidP="00321DE6">
      <w:pPr>
        <w:pStyle w:val="NormalHanging12a"/>
      </w:pPr>
      <w:r w:rsidRPr="00321DE6">
        <w:t>1.</w:t>
      </w:r>
      <w:r w:rsidRPr="00321DE6">
        <w:tab/>
        <w:t>bere na vědomí návrh opravného rozpočtu č. 2/2025 v podobě, v jaké jej předložila Komise;</w:t>
      </w:r>
    </w:p>
    <w:p w14:paraId="471FACCE" w14:textId="77777777" w:rsidR="003E2B77" w:rsidRPr="00321DE6" w:rsidRDefault="003E2B77" w:rsidP="00321DE6">
      <w:pPr>
        <w:pStyle w:val="NormalHanging12a"/>
      </w:pPr>
      <w:r w:rsidRPr="00321DE6">
        <w:t>2.</w:t>
      </w:r>
      <w:r w:rsidRPr="00321DE6">
        <w:tab/>
        <w:t>bere na vědomí, že snížení částky jiných vlastních zdrojů než HND a dodatečné potřeby plateb na straně výdajů vedou k celkové zvýšené potřebě příspěvků z HND ve výši 4,3 miliardy EUR; bere na vědomí, že to znamená změnu jednotné uplatňované sazby HND z 0,527 % (v NOR 1/2025) na 0,547 % v (NOR 2/2025);</w:t>
      </w:r>
    </w:p>
    <w:p w14:paraId="25352910" w14:textId="6D375947" w:rsidR="003E2B77" w:rsidRPr="00321DE6" w:rsidRDefault="003E2B77" w:rsidP="00321DE6">
      <w:pPr>
        <w:pStyle w:val="NormalHanging12a"/>
      </w:pPr>
      <w:r w:rsidRPr="00321DE6">
        <w:t>3.</w:t>
      </w:r>
      <w:r w:rsidRPr="00321DE6">
        <w:tab/>
        <w:t xml:space="preserve">zdůrazňuje, že v návrhu opravného rozpočtu č. 2/2025 činí paušální snížení HND v případě pěti přijímajících členských států přibližně 9,2 miliardy EUR (hrubá částka); </w:t>
      </w:r>
      <w:r w:rsidRPr="00321DE6">
        <w:lastRenderedPageBreak/>
        <w:t xml:space="preserve">poukazuje na to, že tyto slevy jsou spojeny s inflací, a proto se zvýšily rychleji než stropy </w:t>
      </w:r>
      <w:r w:rsidR="00CE6041">
        <w:t>víceletého finančního rámce (</w:t>
      </w:r>
      <w:r w:rsidRPr="00321DE6">
        <w:t>VFR</w:t>
      </w:r>
      <w:r w:rsidR="00CE6041">
        <w:t>)</w:t>
      </w:r>
      <w:r w:rsidRPr="00321DE6">
        <w:t>, které jsou každoročně upravovány na základě 2% deflátoru; zdůrazňuje, že rozpočet Unie musel být v posledních několika letech využíván do krajnosti, aby bylo možné reagovat na různé krize; zdůrazňuje, že tato anomálie týkající se slev vede k vyššímu zatížení ostatních členských států;</w:t>
      </w:r>
    </w:p>
    <w:p w14:paraId="03751692" w14:textId="77777777" w:rsidR="003E2B77" w:rsidRPr="00321DE6" w:rsidRDefault="003E2B77" w:rsidP="00321DE6">
      <w:pPr>
        <w:pStyle w:val="NormalHanging12a"/>
      </w:pPr>
      <w:r w:rsidRPr="00321DE6">
        <w:t>4.</w:t>
      </w:r>
      <w:r w:rsidRPr="00321DE6">
        <w:tab/>
        <w:t xml:space="preserve">vítá nové úsilí Komise o předložení více možností pro nové zdroje příjmů pro rozpočet Unie; v tomto ohledu bere na vědomí návrh Komise na rozhodnutí Rady o systému vlastních zdrojů Evropské unie ze dne 16. července 2025; domnívá se, že je nezbytné urychleně přijmout nové vlastní zdroje, aby se zvýšily zdroje, které jsou k dispozici pro rozpočet; zdůrazňuje, že nové vlastní zdroje musí být spravedlivé a jsou nezbytné nejen k tomu, aby bylo možné splatit výpůjčky v rámci nástroje </w:t>
      </w:r>
      <w:proofErr w:type="spellStart"/>
      <w:r w:rsidRPr="00321DE6">
        <w:t>Next</w:t>
      </w:r>
      <w:proofErr w:type="spellEnd"/>
      <w:r w:rsidRPr="00321DE6">
        <w:t xml:space="preserve"> </w:t>
      </w:r>
      <w:proofErr w:type="spellStart"/>
      <w:r w:rsidRPr="00321DE6">
        <w:t>Generation</w:t>
      </w:r>
      <w:proofErr w:type="spellEnd"/>
      <w:r w:rsidRPr="00321DE6">
        <w:t xml:space="preserve"> EU, ale také k tomu, aby Unie byla schopna pokrýt své vyšší výdajové potřeby; připomíná v této souvislosti své dlouhodobě prosazované stanovisko, že za účelem zajištění reakce na krize nebo pokrytí neočekávaných potřeb by se jako doplňkový příjem unijního rozpočtu měly použít neočekávané zisky pocházející z pokut a sankcí, resp. odpovídající částky, které by neměly vést k odpovídajícímu snížení příspěvků založených na HND; zdůrazňuje, že ve stávajícím VFR jsou tyto částky „vraceny“ členským státům;</w:t>
      </w:r>
    </w:p>
    <w:p w14:paraId="3DEF84A7" w14:textId="77777777" w:rsidR="003E2B77" w:rsidRPr="00321DE6" w:rsidRDefault="003E2B77" w:rsidP="00321DE6">
      <w:pPr>
        <w:pStyle w:val="NormalHanging12a"/>
      </w:pPr>
      <w:r w:rsidRPr="00321DE6">
        <w:t>5.</w:t>
      </w:r>
      <w:r w:rsidRPr="00321DE6">
        <w:tab/>
        <w:t>zdůrazňuje, že poučení z nedávných krizí – pandemie, energetických otřesů a války na Ukrajině – vyžaduje v příštím VFR seriózní úvahy o flexibilitě; opakuje svůj postoj, že budoucí nástroj pružnosti by měl být financován z řady dodatečných zdrojů financování, včetně ročního přebytku z předchozího roku, pokut a zpětných toků; bere na vědomí příslušná ustanovení navrhovaného nařízení o VFR, v nichž Komise navrhuje doplnit do nástroje pružnosti určité částky v souladu s dlouhodobými požadavky Parlamentu; připomíná však, že flexibilita by neměla být na úkor transparentnosti;</w:t>
      </w:r>
    </w:p>
    <w:p w14:paraId="28C0DB8D" w14:textId="77777777" w:rsidR="003E2B77" w:rsidRPr="00321DE6" w:rsidRDefault="003E2B77" w:rsidP="00321DE6">
      <w:pPr>
        <w:pStyle w:val="NormalHanging12a"/>
      </w:pPr>
      <w:r w:rsidRPr="00321DE6">
        <w:t>6.</w:t>
      </w:r>
      <w:r w:rsidRPr="00321DE6">
        <w:tab/>
        <w:t>vítá úpravy prostředků na platby pro Fond pro rozvoj venkova směrem nahoru, což naznačuje, že provádění strategických plánů SZP na období 2023–2027 a intervencí v rámci programů na období 2014–2020 se zrychluje, a vyrovnává se tak zpoždění v předchozích rozpočtových letech;</w:t>
      </w:r>
    </w:p>
    <w:p w14:paraId="09B384BF" w14:textId="77777777" w:rsidR="003E2B77" w:rsidRPr="00321DE6" w:rsidRDefault="003E2B77" w:rsidP="00321DE6">
      <w:pPr>
        <w:pStyle w:val="NormalHanging12a"/>
      </w:pPr>
      <w:r w:rsidRPr="00321DE6">
        <w:t>7.</w:t>
      </w:r>
      <w:r w:rsidRPr="00321DE6">
        <w:tab/>
        <w:t>oceňuje pokračující zlepšování v oblasti mechanismu uhlíkového vyrovnání na hranicích (CBAM), klade si však otázku, proč by zjednodušení nařízení o CBAM mělo vést ke zvýšení potřeb v řádu 8 milionů EUR, a nikoli ke snížení v důsledku vyšší efektivity;</w:t>
      </w:r>
    </w:p>
    <w:p w14:paraId="46F842AB" w14:textId="77777777" w:rsidR="003E2B77" w:rsidRPr="00321DE6" w:rsidRDefault="003E2B77" w:rsidP="00321DE6">
      <w:pPr>
        <w:pStyle w:val="NormalHanging12a"/>
      </w:pPr>
      <w:r w:rsidRPr="00321DE6">
        <w:t>8.</w:t>
      </w:r>
      <w:r w:rsidRPr="00321DE6">
        <w:tab/>
        <w:t>dále považuje za sporné kompenzovat dodatečné potřeby centralizovaného celního systému v okruhu 1 a CBAM v okruhu 3 úměrným snížením prostředků přidělených v rámci Nástroje pro finanční podporu vybavení pro celní kontroly v okruhu 4; vyjadřuje politování nad tím, že současná rozpočtová situace vedla Komisi k přerozdělení významných finančních prostředků napříč okruhy, a připomíná svůj dlouhodobý postoj, že nové politické priority, úkoly nebo potřeby by měly být doprovázeny novými finančními prostředky; důrazně poukazuje na to, že opakované přerozdělování prostředků není vhodným způsobem financování priorit Unie, protože poškozuje investice a ohrožuje plnění dohodnutých politických cílů;</w:t>
      </w:r>
    </w:p>
    <w:p w14:paraId="3D226533" w14:textId="77777777" w:rsidR="003E2B77" w:rsidRPr="00321DE6" w:rsidRDefault="003E2B77" w:rsidP="00321DE6">
      <w:pPr>
        <w:pStyle w:val="NormalHanging12a"/>
      </w:pPr>
      <w:r w:rsidRPr="00321DE6">
        <w:t>9.</w:t>
      </w:r>
      <w:r w:rsidRPr="00321DE6">
        <w:tab/>
        <w:t xml:space="preserve">zdůrazňuje a vítá, že některé změny v plánu pracovních míst Orgánu EU pro boj proti praní peněz umožní této agentuře plnit své úkoly včas a účinně; připomíná, že tato </w:t>
      </w:r>
      <w:r w:rsidRPr="00321DE6">
        <w:lastRenderedPageBreak/>
        <w:t>klíčová instituce hraje ústřední úlohu při ochraně peněz daňových poplatníků a Evropský parlament ji důrazně podporuje;</w:t>
      </w:r>
    </w:p>
    <w:p w14:paraId="6B912F84" w14:textId="77777777" w:rsidR="003E2B77" w:rsidRPr="00321DE6" w:rsidRDefault="003E2B77" w:rsidP="00321DE6">
      <w:pPr>
        <w:pStyle w:val="NormalHanging12a"/>
      </w:pPr>
      <w:r w:rsidRPr="00321DE6">
        <w:t>10.</w:t>
      </w:r>
      <w:r w:rsidRPr="00321DE6">
        <w:tab/>
        <w:t>vítá pokrok Bulharska na cestě k zavedení eura a plně podporuje dodatečné prostředky, které by umožnily doprovodit přechod na novou měnu vhodnými a cílenými komunikačními aktivitami; uznává, že vzhledem k neexistenci nepřiděleného rozpětí v okruhu 2b musí být k tomuto účelu mobilizován nástroj pružnosti;</w:t>
      </w:r>
    </w:p>
    <w:p w14:paraId="3BD8BA90" w14:textId="77777777" w:rsidR="003E2B77" w:rsidRPr="00321DE6" w:rsidRDefault="003E2B77" w:rsidP="00321DE6">
      <w:pPr>
        <w:pStyle w:val="NormalHanging12a"/>
      </w:pPr>
      <w:r w:rsidRPr="00321DE6">
        <w:t>11.</w:t>
      </w:r>
      <w:r w:rsidRPr="00321DE6">
        <w:tab/>
        <w:t>schvaluje postoj Rady k návrhu opravného rozpočtu č. 2/2025;</w:t>
      </w:r>
    </w:p>
    <w:p w14:paraId="0479F777" w14:textId="77777777" w:rsidR="003E2B77" w:rsidRPr="00321DE6" w:rsidRDefault="003E2B77" w:rsidP="00321DE6">
      <w:pPr>
        <w:pStyle w:val="NormalHanging12a"/>
      </w:pPr>
      <w:r w:rsidRPr="00321DE6">
        <w:t>12.</w:t>
      </w:r>
      <w:r w:rsidRPr="00321DE6">
        <w:tab/>
        <w:t>pověřuje svou předsedkyni, aby prohlásila opravný rozpočet č. 2/2025 za přijatý s konečnou platností a aby zajistila jeho zveřejnění v </w:t>
      </w:r>
      <w:r w:rsidRPr="00321DE6">
        <w:rPr>
          <w:i/>
          <w:iCs/>
        </w:rPr>
        <w:t>Úředním věstníku Evropské unie</w:t>
      </w:r>
      <w:r w:rsidRPr="00321DE6">
        <w:t>;</w:t>
      </w:r>
    </w:p>
    <w:p w14:paraId="561738D7" w14:textId="39D0F670" w:rsidR="00AD11A3" w:rsidRPr="00321DE6" w:rsidRDefault="003E2B77" w:rsidP="00321DE6">
      <w:pPr>
        <w:pStyle w:val="NormalHanging12a"/>
      </w:pPr>
      <w:r w:rsidRPr="00321DE6">
        <w:t>13.</w:t>
      </w:r>
      <w:r w:rsidRPr="00321DE6">
        <w:tab/>
        <w:t>pověřuje svou předsedkyni, aby předala toto usnesení Radě, Komisi, ostatním dotčeným orgánům a institucím, jakož i vnitrostátním parlamentům.</w:t>
      </w:r>
    </w:p>
    <w:p w14:paraId="52ECB5FD" w14:textId="7485E7BA" w:rsidR="00E365E1" w:rsidRPr="00321DE6" w:rsidRDefault="00E365E1" w:rsidP="002E1D33"/>
    <w:sectPr w:rsidR="00E365E1" w:rsidRPr="00321DE6" w:rsidSect="00AD11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CA4A8" w14:textId="77777777" w:rsidR="002E1D33" w:rsidRPr="00AD11A3" w:rsidRDefault="002E1D33">
      <w:r w:rsidRPr="00AD11A3">
        <w:separator/>
      </w:r>
    </w:p>
  </w:endnote>
  <w:endnote w:type="continuationSeparator" w:id="0">
    <w:p w14:paraId="098E6DDB" w14:textId="77777777" w:rsidR="002E1D33" w:rsidRPr="00AD11A3" w:rsidRDefault="002E1D33">
      <w:r w:rsidRPr="00AD11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52B36" w14:textId="77777777" w:rsidR="00064002" w:rsidRPr="00AD11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EF3CD" w14:textId="77777777" w:rsidR="00064002" w:rsidRPr="00AD11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3D422" w14:textId="77777777" w:rsidR="00064002" w:rsidRPr="00AD11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D9C03" w14:textId="77777777" w:rsidR="002E1D33" w:rsidRPr="00AD11A3" w:rsidRDefault="002E1D33">
      <w:r w:rsidRPr="00AD11A3">
        <w:separator/>
      </w:r>
    </w:p>
  </w:footnote>
  <w:footnote w:type="continuationSeparator" w:id="0">
    <w:p w14:paraId="41AE17D0" w14:textId="77777777" w:rsidR="002E1D33" w:rsidRPr="00AD11A3" w:rsidRDefault="002E1D33">
      <w:r w:rsidRPr="00AD11A3">
        <w:continuationSeparator/>
      </w:r>
    </w:p>
  </w:footnote>
  <w:footnote w:id="1">
    <w:p w14:paraId="323E5CD8" w14:textId="7D95A191" w:rsidR="003E2B77" w:rsidRPr="00AD11A3" w:rsidRDefault="003E2B77" w:rsidP="00AD11A3">
      <w:pPr>
        <w:pStyle w:val="FootnoteText"/>
        <w:ind w:left="567" w:hanging="567"/>
        <w:rPr>
          <w:sz w:val="24"/>
          <w:lang w:val="cs-CZ"/>
        </w:rPr>
      </w:pPr>
      <w:r w:rsidRPr="00AD11A3">
        <w:rPr>
          <w:rStyle w:val="FootnoteReference"/>
          <w:sz w:val="24"/>
          <w:lang w:val="cs-CZ"/>
        </w:rPr>
        <w:footnoteRef/>
      </w:r>
      <w:r w:rsidR="00AD11A3" w:rsidRPr="00AD11A3">
        <w:rPr>
          <w:sz w:val="24"/>
          <w:lang w:val="cs-CZ"/>
        </w:rPr>
        <w:t xml:space="preserve"> </w:t>
      </w:r>
      <w:r w:rsidR="00AD11A3" w:rsidRPr="00AD11A3">
        <w:rPr>
          <w:sz w:val="24"/>
          <w:lang w:val="cs-CZ"/>
        </w:rPr>
        <w:tab/>
      </w:r>
      <w:proofErr w:type="spellStart"/>
      <w:r w:rsidRPr="00AD11A3">
        <w:rPr>
          <w:sz w:val="24"/>
          <w:lang w:val="cs-CZ"/>
        </w:rPr>
        <w:t>Úř</w:t>
      </w:r>
      <w:proofErr w:type="spellEnd"/>
      <w:r w:rsidRPr="00AD11A3">
        <w:rPr>
          <w:sz w:val="24"/>
          <w:lang w:val="cs-CZ"/>
        </w:rPr>
        <w:t xml:space="preserve">. </w:t>
      </w:r>
      <w:proofErr w:type="spellStart"/>
      <w:r w:rsidRPr="00AD11A3">
        <w:rPr>
          <w:sz w:val="24"/>
          <w:lang w:val="cs-CZ"/>
        </w:rPr>
        <w:t>věst</w:t>
      </w:r>
      <w:proofErr w:type="spellEnd"/>
      <w:r w:rsidRPr="00AD11A3">
        <w:rPr>
          <w:sz w:val="24"/>
          <w:lang w:val="cs-CZ"/>
        </w:rPr>
        <w:t xml:space="preserve">. L, 2024/2509, 26.9.2024, ELI: </w:t>
      </w:r>
      <w:hyperlink r:id="rId1" w:history="1">
        <w:r w:rsidRPr="00AD11A3">
          <w:rPr>
            <w:rStyle w:val="Hyperlink"/>
            <w:sz w:val="24"/>
            <w:lang w:val="cs-CZ"/>
          </w:rPr>
          <w:t>http://data.europa.eu/eli/reg/2024/2509/oj</w:t>
        </w:r>
      </w:hyperlink>
      <w:r w:rsidRPr="00AD11A3">
        <w:rPr>
          <w:sz w:val="24"/>
          <w:lang w:val="cs-CZ"/>
        </w:rPr>
        <w:t>.</w:t>
      </w:r>
    </w:p>
  </w:footnote>
  <w:footnote w:id="2">
    <w:p w14:paraId="1D7C88BD" w14:textId="4F67686B" w:rsidR="003E2B77" w:rsidRPr="00AD11A3" w:rsidRDefault="003E2B77" w:rsidP="00AD11A3">
      <w:pPr>
        <w:pStyle w:val="FootnoteText"/>
        <w:ind w:left="567" w:hanging="567"/>
        <w:rPr>
          <w:sz w:val="24"/>
          <w:lang w:val="cs-CZ"/>
        </w:rPr>
      </w:pPr>
      <w:r w:rsidRPr="00AD11A3">
        <w:rPr>
          <w:rStyle w:val="FootnoteReference"/>
          <w:sz w:val="24"/>
          <w:lang w:val="cs-CZ"/>
        </w:rPr>
        <w:footnoteRef/>
      </w:r>
      <w:r w:rsidR="00AD11A3" w:rsidRPr="00AD11A3">
        <w:rPr>
          <w:sz w:val="24"/>
          <w:lang w:val="cs-CZ"/>
        </w:rPr>
        <w:t xml:space="preserve"> </w:t>
      </w:r>
      <w:r w:rsidR="00AD11A3" w:rsidRPr="00AD11A3">
        <w:rPr>
          <w:sz w:val="24"/>
          <w:lang w:val="cs-CZ"/>
        </w:rPr>
        <w:tab/>
      </w:r>
      <w:proofErr w:type="spellStart"/>
      <w:r w:rsidRPr="00AD11A3">
        <w:rPr>
          <w:sz w:val="24"/>
          <w:lang w:val="cs-CZ"/>
        </w:rPr>
        <w:t>Úř</w:t>
      </w:r>
      <w:proofErr w:type="spellEnd"/>
      <w:r w:rsidRPr="00AD11A3">
        <w:rPr>
          <w:sz w:val="24"/>
          <w:lang w:val="cs-CZ"/>
        </w:rPr>
        <w:t xml:space="preserve">. </w:t>
      </w:r>
      <w:proofErr w:type="spellStart"/>
      <w:r w:rsidRPr="00AD11A3">
        <w:rPr>
          <w:sz w:val="24"/>
          <w:lang w:val="cs-CZ"/>
        </w:rPr>
        <w:t>věst</w:t>
      </w:r>
      <w:proofErr w:type="spellEnd"/>
      <w:r w:rsidRPr="00AD11A3">
        <w:rPr>
          <w:sz w:val="24"/>
          <w:lang w:val="cs-CZ"/>
        </w:rPr>
        <w:t xml:space="preserve">. L, 2025/31, 27.2.2025, ELI: </w:t>
      </w:r>
      <w:hyperlink r:id="rId2" w:history="1">
        <w:r w:rsidRPr="00AD11A3">
          <w:rPr>
            <w:rStyle w:val="Hyperlink"/>
            <w:sz w:val="24"/>
            <w:lang w:val="cs-CZ"/>
          </w:rPr>
          <w:t>http://data.europa.eu/eli/budget/2025/31/oj</w:t>
        </w:r>
      </w:hyperlink>
      <w:r w:rsidRPr="00AD11A3">
        <w:rPr>
          <w:rStyle w:val="Hyperlink"/>
          <w:sz w:val="24"/>
          <w:lang w:val="cs-CZ"/>
        </w:rPr>
        <w:t>.</w:t>
      </w:r>
    </w:p>
  </w:footnote>
  <w:footnote w:id="3">
    <w:p w14:paraId="4D966BF6" w14:textId="52AEDEA3" w:rsidR="003E2B77" w:rsidRPr="00AD11A3" w:rsidRDefault="003E2B77" w:rsidP="00AD11A3">
      <w:pPr>
        <w:pStyle w:val="FootnoteText"/>
        <w:ind w:left="567" w:hanging="567"/>
        <w:rPr>
          <w:sz w:val="24"/>
          <w:lang w:val="cs-CZ"/>
        </w:rPr>
      </w:pPr>
      <w:r w:rsidRPr="00AD11A3">
        <w:rPr>
          <w:rStyle w:val="FootnoteReference"/>
          <w:sz w:val="24"/>
          <w:lang w:val="cs-CZ"/>
        </w:rPr>
        <w:footnoteRef/>
      </w:r>
      <w:r w:rsidR="00AD11A3" w:rsidRPr="00AD11A3">
        <w:rPr>
          <w:sz w:val="24"/>
          <w:lang w:val="cs-CZ"/>
        </w:rPr>
        <w:t xml:space="preserve"> </w:t>
      </w:r>
      <w:r w:rsidR="00AD11A3" w:rsidRPr="00AD11A3">
        <w:rPr>
          <w:sz w:val="24"/>
          <w:lang w:val="cs-CZ"/>
        </w:rPr>
        <w:tab/>
      </w:r>
      <w:r w:rsidRPr="00AD11A3">
        <w:rPr>
          <w:sz w:val="24"/>
          <w:lang w:val="cs-CZ"/>
        </w:rPr>
        <w:t>Úř. věst. L 433</w:t>
      </w:r>
      <w:r w:rsidR="005E6E55">
        <w:rPr>
          <w:sz w:val="24"/>
          <w:lang w:val="cs-CZ"/>
        </w:rPr>
        <w:t xml:space="preserve"> I</w:t>
      </w:r>
      <w:r w:rsidRPr="00AD11A3">
        <w:rPr>
          <w:sz w:val="24"/>
          <w:lang w:val="cs-CZ"/>
        </w:rPr>
        <w:t xml:space="preserve">, 22.12.2020, s. 11, ELI: </w:t>
      </w:r>
      <w:hyperlink r:id="rId3" w:history="1">
        <w:r w:rsidRPr="00AD11A3">
          <w:rPr>
            <w:rStyle w:val="Hyperlink"/>
            <w:sz w:val="24"/>
            <w:lang w:val="cs-CZ"/>
          </w:rPr>
          <w:t>http://data.europa.eu/eli/reg/2020/433/oj</w:t>
        </w:r>
      </w:hyperlink>
      <w:r w:rsidRPr="00AD11A3">
        <w:rPr>
          <w:sz w:val="24"/>
          <w:lang w:val="cs-CZ"/>
        </w:rPr>
        <w:t>.</w:t>
      </w:r>
    </w:p>
  </w:footnote>
  <w:footnote w:id="4">
    <w:p w14:paraId="1EB8AA24" w14:textId="538FDB95" w:rsidR="003E2B77" w:rsidRPr="00AD11A3" w:rsidRDefault="003E2B77" w:rsidP="00AD11A3">
      <w:pPr>
        <w:pStyle w:val="FootnoteText"/>
        <w:ind w:left="567" w:hanging="567"/>
        <w:rPr>
          <w:sz w:val="24"/>
          <w:lang w:val="cs-CZ"/>
        </w:rPr>
      </w:pPr>
      <w:r w:rsidRPr="00AD11A3">
        <w:rPr>
          <w:rStyle w:val="FootnoteReference"/>
          <w:sz w:val="24"/>
          <w:lang w:val="cs-CZ"/>
        </w:rPr>
        <w:footnoteRef/>
      </w:r>
      <w:r w:rsidR="00AD11A3" w:rsidRPr="00AD11A3">
        <w:rPr>
          <w:sz w:val="24"/>
          <w:lang w:val="cs-CZ"/>
        </w:rPr>
        <w:t xml:space="preserve"> </w:t>
      </w:r>
      <w:r w:rsidR="00AD11A3" w:rsidRPr="00AD11A3">
        <w:rPr>
          <w:sz w:val="24"/>
          <w:lang w:val="cs-CZ"/>
        </w:rPr>
        <w:tab/>
      </w:r>
      <w:r w:rsidRPr="00AD11A3">
        <w:rPr>
          <w:sz w:val="24"/>
          <w:lang w:val="cs-CZ"/>
        </w:rPr>
        <w:t>Úř. věst. L 433</w:t>
      </w:r>
      <w:r w:rsidR="005E6E55">
        <w:rPr>
          <w:sz w:val="24"/>
          <w:lang w:val="cs-CZ"/>
        </w:rPr>
        <w:t xml:space="preserve"> I</w:t>
      </w:r>
      <w:r w:rsidRPr="00AD11A3">
        <w:rPr>
          <w:sz w:val="24"/>
          <w:lang w:val="cs-CZ"/>
        </w:rPr>
        <w:t xml:space="preserve">, 22.12.2020, s. 28, ELI: </w:t>
      </w:r>
      <w:hyperlink r:id="rId4" w:history="1">
        <w:r w:rsidRPr="00AD11A3">
          <w:rPr>
            <w:rStyle w:val="Hyperlink"/>
            <w:sz w:val="24"/>
            <w:lang w:val="cs-CZ"/>
          </w:rPr>
          <w:t>http://data.europa.eu/eli/agree_interinstit/2020/1222/oj</w:t>
        </w:r>
      </w:hyperlink>
      <w:r w:rsidRPr="00AD11A3">
        <w:rPr>
          <w:rStyle w:val="Hyperlink"/>
          <w:sz w:val="24"/>
          <w:lang w:val="cs-CZ"/>
        </w:rPr>
        <w:t>.</w:t>
      </w:r>
    </w:p>
  </w:footnote>
  <w:footnote w:id="5">
    <w:p w14:paraId="2D63DE87" w14:textId="2A678428" w:rsidR="003E2B77" w:rsidRPr="00AD11A3" w:rsidRDefault="003E2B77" w:rsidP="00AD11A3">
      <w:pPr>
        <w:pStyle w:val="FootnoteText"/>
        <w:ind w:left="567" w:hanging="567"/>
        <w:rPr>
          <w:sz w:val="24"/>
          <w:lang w:val="cs-CZ"/>
        </w:rPr>
      </w:pPr>
      <w:r w:rsidRPr="00AD11A3">
        <w:rPr>
          <w:rStyle w:val="FootnoteReference"/>
          <w:sz w:val="24"/>
          <w:lang w:val="cs-CZ"/>
        </w:rPr>
        <w:footnoteRef/>
      </w:r>
      <w:r w:rsidR="00AD11A3" w:rsidRPr="00AD11A3">
        <w:rPr>
          <w:sz w:val="24"/>
          <w:lang w:val="cs-CZ"/>
        </w:rPr>
        <w:t xml:space="preserve"> </w:t>
      </w:r>
      <w:r w:rsidR="00AD11A3" w:rsidRPr="00AD11A3">
        <w:rPr>
          <w:sz w:val="24"/>
          <w:lang w:val="cs-CZ"/>
        </w:rPr>
        <w:tab/>
      </w:r>
      <w:r w:rsidRPr="00AD11A3">
        <w:rPr>
          <w:sz w:val="24"/>
          <w:lang w:val="cs-CZ"/>
        </w:rPr>
        <w:t xml:space="preserve">Úř. věst. L 424, 15.12.2020, s. 1, ELI: </w:t>
      </w:r>
      <w:hyperlink r:id="rId5" w:history="1">
        <w:r w:rsidRPr="00AD11A3">
          <w:rPr>
            <w:rStyle w:val="Hyperlink"/>
            <w:sz w:val="24"/>
            <w:lang w:val="cs-CZ"/>
          </w:rPr>
          <w:t>http://data.europa.eu/eli/dec/2020/2053/oj</w:t>
        </w:r>
      </w:hyperlink>
      <w:r w:rsidRPr="00AD11A3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FD8F6" w14:textId="77777777" w:rsidR="00064002" w:rsidRPr="00AD11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16D34" w14:textId="77777777" w:rsidR="00064002" w:rsidRPr="00AD11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FA8F7" w14:textId="77777777" w:rsidR="00064002" w:rsidRPr="00AD11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61844598">
    <w:abstractNumId w:val="9"/>
  </w:num>
  <w:num w:numId="2" w16cid:durableId="1187016861">
    <w:abstractNumId w:val="9"/>
  </w:num>
  <w:num w:numId="3" w16cid:durableId="114950882">
    <w:abstractNumId w:val="7"/>
  </w:num>
  <w:num w:numId="4" w16cid:durableId="117993293">
    <w:abstractNumId w:val="7"/>
  </w:num>
  <w:num w:numId="5" w16cid:durableId="584388207">
    <w:abstractNumId w:val="6"/>
  </w:num>
  <w:num w:numId="6" w16cid:durableId="665861002">
    <w:abstractNumId w:val="6"/>
  </w:num>
  <w:num w:numId="7" w16cid:durableId="1454638686">
    <w:abstractNumId w:val="5"/>
  </w:num>
  <w:num w:numId="8" w16cid:durableId="596905651">
    <w:abstractNumId w:val="5"/>
  </w:num>
  <w:num w:numId="9" w16cid:durableId="326829963">
    <w:abstractNumId w:val="4"/>
  </w:num>
  <w:num w:numId="10" w16cid:durableId="919559252">
    <w:abstractNumId w:val="4"/>
  </w:num>
  <w:num w:numId="11" w16cid:durableId="835805875">
    <w:abstractNumId w:val="8"/>
  </w:num>
  <w:num w:numId="12" w16cid:durableId="1374160338">
    <w:abstractNumId w:val="8"/>
  </w:num>
  <w:num w:numId="13" w16cid:durableId="351301262">
    <w:abstractNumId w:val="3"/>
  </w:num>
  <w:num w:numId="14" w16cid:durableId="170687673">
    <w:abstractNumId w:val="3"/>
  </w:num>
  <w:num w:numId="15" w16cid:durableId="202788641">
    <w:abstractNumId w:val="2"/>
  </w:num>
  <w:num w:numId="16" w16cid:durableId="405104667">
    <w:abstractNumId w:val="2"/>
  </w:num>
  <w:num w:numId="17" w16cid:durableId="1772430111">
    <w:abstractNumId w:val="1"/>
  </w:num>
  <w:num w:numId="18" w16cid:durableId="729572953">
    <w:abstractNumId w:val="1"/>
  </w:num>
  <w:num w:numId="19" w16cid:durableId="123886080">
    <w:abstractNumId w:val="0"/>
  </w:num>
  <w:num w:numId="20" w16cid:durableId="1169447663">
    <w:abstractNumId w:val="0"/>
  </w:num>
  <w:num w:numId="21" w16cid:durableId="566377429">
    <w:abstractNumId w:val="9"/>
  </w:num>
  <w:num w:numId="22" w16cid:durableId="608660042">
    <w:abstractNumId w:val="7"/>
  </w:num>
  <w:num w:numId="23" w16cid:durableId="1109932245">
    <w:abstractNumId w:val="6"/>
  </w:num>
  <w:num w:numId="24" w16cid:durableId="928731991">
    <w:abstractNumId w:val="5"/>
  </w:num>
  <w:num w:numId="25" w16cid:durableId="1135372166">
    <w:abstractNumId w:val="4"/>
  </w:num>
  <w:num w:numId="26" w16cid:durableId="2092507208">
    <w:abstractNumId w:val="8"/>
  </w:num>
  <w:num w:numId="27" w16cid:durableId="1183788632">
    <w:abstractNumId w:val="3"/>
  </w:num>
  <w:num w:numId="28" w16cid:durableId="429739124">
    <w:abstractNumId w:val="2"/>
  </w:num>
  <w:num w:numId="29" w16cid:durableId="363873865">
    <w:abstractNumId w:val="1"/>
  </w:num>
  <w:num w:numId="30" w16cid:durableId="1145077304">
    <w:abstractNumId w:val="0"/>
  </w:num>
  <w:num w:numId="31" w16cid:durableId="831916001">
    <w:abstractNumId w:val="9"/>
  </w:num>
  <w:num w:numId="32" w16cid:durableId="628903776">
    <w:abstractNumId w:val="7"/>
  </w:num>
  <w:num w:numId="33" w16cid:durableId="1042556111">
    <w:abstractNumId w:val="6"/>
  </w:num>
  <w:num w:numId="34" w16cid:durableId="779371382">
    <w:abstractNumId w:val="5"/>
  </w:num>
  <w:num w:numId="35" w16cid:durableId="572276314">
    <w:abstractNumId w:val="4"/>
  </w:num>
  <w:num w:numId="36" w16cid:durableId="1817844041">
    <w:abstractNumId w:val="8"/>
  </w:num>
  <w:num w:numId="37" w16cid:durableId="958024222">
    <w:abstractNumId w:val="3"/>
  </w:num>
  <w:num w:numId="38" w16cid:durableId="496505109">
    <w:abstractNumId w:val="2"/>
  </w:num>
  <w:num w:numId="39" w16cid:durableId="1720277052">
    <w:abstractNumId w:val="1"/>
  </w:num>
  <w:num w:numId="40" w16cid:durableId="248396248">
    <w:abstractNumId w:val="0"/>
  </w:num>
  <w:num w:numId="41" w16cid:durableId="934019384">
    <w:abstractNumId w:val="10"/>
  </w:num>
  <w:num w:numId="42" w16cid:durableId="1912809943">
    <w:abstractNumId w:val="10"/>
  </w:num>
  <w:num w:numId="43" w16cid:durableId="967465948">
    <w:abstractNumId w:val="10"/>
  </w:num>
  <w:num w:numId="44" w16cid:durableId="20694564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5/2025"/>
    <w:docVar w:name="dvlangue" w:val="CS"/>
    <w:docVar w:name="dvnumam" w:val="0"/>
    <w:docVar w:name="dvpe" w:val="776.838"/>
    <w:docVar w:name="dvrapporteur" w:val="Zpravodaj: "/>
    <w:docVar w:name="dvtitre" w:val="Usnesení Evropského parlamentu ze dne 8. října 2025 o postoji Rady k návrhu opravného rozpočtu Evropské unie č. 2/2025 na rozpočtový rok 2025 – aktualizace příjmů (vlastních zdrojů) a úpravy výdajů(12353/2025 – C10-0209/2025 – 2025/0206(BUD))"/>
  </w:docVars>
  <w:rsids>
    <w:rsidRoot w:val="002E1D33"/>
    <w:rsid w:val="00002272"/>
    <w:rsid w:val="0003588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3E10"/>
    <w:rsid w:val="002767FF"/>
    <w:rsid w:val="002B18FE"/>
    <w:rsid w:val="002B5493"/>
    <w:rsid w:val="002E1D33"/>
    <w:rsid w:val="00321DE6"/>
    <w:rsid w:val="00343214"/>
    <w:rsid w:val="00361C00"/>
    <w:rsid w:val="00395FA1"/>
    <w:rsid w:val="003E15D4"/>
    <w:rsid w:val="003E2B77"/>
    <w:rsid w:val="00411CCE"/>
    <w:rsid w:val="0041666E"/>
    <w:rsid w:val="00421060"/>
    <w:rsid w:val="004466AE"/>
    <w:rsid w:val="00471C19"/>
    <w:rsid w:val="004867E3"/>
    <w:rsid w:val="00494A28"/>
    <w:rsid w:val="004C0004"/>
    <w:rsid w:val="004C5D52"/>
    <w:rsid w:val="0050519A"/>
    <w:rsid w:val="005072A1"/>
    <w:rsid w:val="0051330C"/>
    <w:rsid w:val="00514517"/>
    <w:rsid w:val="00545827"/>
    <w:rsid w:val="00560270"/>
    <w:rsid w:val="00563736"/>
    <w:rsid w:val="005C2568"/>
    <w:rsid w:val="005E6E55"/>
    <w:rsid w:val="005F1B17"/>
    <w:rsid w:val="006037C0"/>
    <w:rsid w:val="006602A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7DE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11A3"/>
    <w:rsid w:val="00AE0928"/>
    <w:rsid w:val="00AF3B82"/>
    <w:rsid w:val="00B12E95"/>
    <w:rsid w:val="00B22876"/>
    <w:rsid w:val="00B558F0"/>
    <w:rsid w:val="00B65549"/>
    <w:rsid w:val="00BD48FE"/>
    <w:rsid w:val="00BD7BD8"/>
    <w:rsid w:val="00BE6ADC"/>
    <w:rsid w:val="00C05BFE"/>
    <w:rsid w:val="00C23CD4"/>
    <w:rsid w:val="00C414AB"/>
    <w:rsid w:val="00C61C0C"/>
    <w:rsid w:val="00C941CB"/>
    <w:rsid w:val="00CC2357"/>
    <w:rsid w:val="00CE6041"/>
    <w:rsid w:val="00CF071A"/>
    <w:rsid w:val="00D058B8"/>
    <w:rsid w:val="00D362E5"/>
    <w:rsid w:val="00D56C11"/>
    <w:rsid w:val="00D834A0"/>
    <w:rsid w:val="00D872DF"/>
    <w:rsid w:val="00D91E21"/>
    <w:rsid w:val="00DA7FCD"/>
    <w:rsid w:val="00DE0C37"/>
    <w:rsid w:val="00E365E1"/>
    <w:rsid w:val="00E820A4"/>
    <w:rsid w:val="00EB006A"/>
    <w:rsid w:val="00EB4772"/>
    <w:rsid w:val="00ED169E"/>
    <w:rsid w:val="00ED4235"/>
    <w:rsid w:val="00EF2EBC"/>
    <w:rsid w:val="00F04346"/>
    <w:rsid w:val="00F075DC"/>
    <w:rsid w:val="00F149E9"/>
    <w:rsid w:val="00F5134D"/>
    <w:rsid w:val="00F74202"/>
    <w:rsid w:val="00F75862"/>
    <w:rsid w:val="00F87713"/>
    <w:rsid w:val="00F94B2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D7BFE2"/>
  <w15:chartTrackingRefBased/>
  <w15:docId w15:val="{CCF76581-D44A-4597-93AB-B6ED0B5E4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3E2B77"/>
    <w:rPr>
      <w:b/>
    </w:rPr>
  </w:style>
  <w:style w:type="paragraph" w:customStyle="1" w:styleId="NormalHanging12a">
    <w:name w:val="NormalHanging12a"/>
    <w:basedOn w:val="Normal"/>
    <w:link w:val="NormalHanging12aChar"/>
    <w:rsid w:val="003E2B77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3E2B77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3E2B77"/>
    <w:rPr>
      <w:sz w:val="24"/>
      <w:lang w:val="cs-CZ"/>
    </w:rPr>
  </w:style>
  <w:style w:type="paragraph" w:styleId="Revision">
    <w:name w:val="Revision"/>
    <w:hidden/>
    <w:uiPriority w:val="99"/>
    <w:semiHidden/>
    <w:rsid w:val="00321DE6"/>
    <w:rPr>
      <w:sz w:val="24"/>
      <w:lang w:val="cs-CZ"/>
    </w:rPr>
  </w:style>
  <w:style w:type="character" w:styleId="CommentReference">
    <w:name w:val="annotation reference"/>
    <w:basedOn w:val="DefaultParagraphFont"/>
    <w:rsid w:val="00B655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B6554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65549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B655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65549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433/oj" TargetMode="External"/><Relationship Id="rId2" Type="http://schemas.openxmlformats.org/officeDocument/2006/relationships/hyperlink" Target="http://data.europa.eu/eli/budget/2025/31/oj%20" TargetMode="External"/><Relationship Id="rId1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dec/2020/2053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1251</Words>
  <Characters>7044</Characters>
  <Application>Microsoft Office Word</Application>
  <DocSecurity>4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GOROPECNIK Tina</cp:lastModifiedBy>
  <cp:revision>2</cp:revision>
  <cp:lastPrinted>2004-11-19T15:42:00Z</cp:lastPrinted>
  <dcterms:created xsi:type="dcterms:W3CDTF">2026-01-15T10:53:00Z</dcterms:created>
  <dcterms:modified xsi:type="dcterms:W3CDTF">2026-01-15T10:53:00Z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P10_TA(2025)0218_</vt:lpwstr>
  </property>
  <property fmtid="{D5CDD505-2E9C-101B-9397-08002B2CF9AE}" pid="4" name="&lt;Type&gt;">
    <vt:lpwstr>RR</vt:lpwstr>
  </property>
</Properties>
</file>