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1680" w14:paraId="67349835" w14:textId="77777777" w:rsidTr="0010095E">
        <w:trPr>
          <w:trHeight w:hRule="exact" w:val="1418"/>
        </w:trPr>
        <w:tc>
          <w:tcPr>
            <w:tcW w:w="6804" w:type="dxa"/>
            <w:shd w:val="clear" w:color="auto" w:fill="auto"/>
            <w:vAlign w:val="center"/>
          </w:tcPr>
          <w:p w14:paraId="274DFCE0" w14:textId="77777777" w:rsidR="00751A4A" w:rsidRPr="00D11680" w:rsidRDefault="00223696" w:rsidP="0010095E">
            <w:pPr>
              <w:pStyle w:val="EPName"/>
            </w:pPr>
            <w:r w:rsidRPr="00D11680">
              <w:t>Europa-Parlamentet</w:t>
            </w:r>
          </w:p>
          <w:p w14:paraId="75EAEAC6" w14:textId="77777777" w:rsidR="00751A4A" w:rsidRPr="00D11680" w:rsidRDefault="005F1B17" w:rsidP="005F1B17">
            <w:pPr>
              <w:pStyle w:val="EPTerm"/>
              <w:rPr>
                <w:rStyle w:val="HideTWBExt"/>
                <w:noProof w:val="0"/>
                <w:vanish w:val="0"/>
                <w:color w:val="auto"/>
              </w:rPr>
            </w:pPr>
            <w:r w:rsidRPr="00D11680">
              <w:t>2024</w:t>
            </w:r>
            <w:r w:rsidR="00817416" w:rsidRPr="00D11680">
              <w:t>-202</w:t>
            </w:r>
            <w:r w:rsidRPr="00D11680">
              <w:t>9</w:t>
            </w:r>
          </w:p>
        </w:tc>
        <w:tc>
          <w:tcPr>
            <w:tcW w:w="2268" w:type="dxa"/>
            <w:shd w:val="clear" w:color="auto" w:fill="auto"/>
          </w:tcPr>
          <w:p w14:paraId="503DA01F" w14:textId="77777777" w:rsidR="00751A4A" w:rsidRPr="00D11680" w:rsidRDefault="00187494" w:rsidP="0010095E">
            <w:pPr>
              <w:pStyle w:val="EPLogo"/>
            </w:pPr>
            <w:r w:rsidRPr="00D11680">
              <w:rPr>
                <w:noProof/>
                <w:lang w:eastAsia="ja-JP"/>
              </w:rPr>
              <w:drawing>
                <wp:inline distT="0" distB="0" distL="0" distR="0" wp14:anchorId="6F9C1FC4" wp14:editId="537B89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C00603" w14:textId="77777777" w:rsidR="00D058B8" w:rsidRPr="00D11680" w:rsidRDefault="00D058B8" w:rsidP="004C5D52">
      <w:pPr>
        <w:pStyle w:val="LineTop"/>
      </w:pPr>
    </w:p>
    <w:p w14:paraId="4CB39C59" w14:textId="77777777" w:rsidR="00680577" w:rsidRPr="00D11680" w:rsidRDefault="00223696" w:rsidP="00680577">
      <w:pPr>
        <w:pStyle w:val="EPBodyTA1"/>
      </w:pPr>
      <w:r w:rsidRPr="00D11680">
        <w:t>VEDTAGNE TEKSTER</w:t>
      </w:r>
    </w:p>
    <w:p w14:paraId="2181D475" w14:textId="77777777" w:rsidR="00D058B8" w:rsidRPr="00D11680" w:rsidRDefault="00D058B8" w:rsidP="00D058B8">
      <w:pPr>
        <w:pStyle w:val="LineBottom"/>
      </w:pPr>
    </w:p>
    <w:p w14:paraId="0CC042FB" w14:textId="5415FC42" w:rsidR="00223696" w:rsidRPr="00C95144" w:rsidRDefault="00223696" w:rsidP="00223696">
      <w:pPr>
        <w:pStyle w:val="ATHeading1"/>
      </w:pPr>
      <w:bookmarkStart w:id="0" w:name="TANumber"/>
      <w:r w:rsidRPr="00C95144">
        <w:t>P10_TA(2025)0</w:t>
      </w:r>
      <w:r w:rsidR="00AB69A4">
        <w:t>218</w:t>
      </w:r>
      <w:bookmarkEnd w:id="0"/>
    </w:p>
    <w:p w14:paraId="46D64CAF" w14:textId="43FC7D31" w:rsidR="00223696" w:rsidRPr="00C95144" w:rsidRDefault="004E1D40" w:rsidP="00223696">
      <w:pPr>
        <w:pStyle w:val="ATHeading2"/>
      </w:pPr>
      <w:bookmarkStart w:id="1" w:name="title"/>
      <w:r w:rsidRPr="00C95144">
        <w:t xml:space="preserve">Forslag til </w:t>
      </w:r>
      <w:r w:rsidR="00223696" w:rsidRPr="00C95144">
        <w:t>ændringsbudget nr. 2/2025</w:t>
      </w:r>
      <w:r w:rsidRPr="00C95144">
        <w:t>: aj</w:t>
      </w:r>
      <w:r w:rsidR="00223696" w:rsidRPr="00C95144">
        <w:t>ourføring af indtægter (egne indtægter) og tilpasning af udgifter</w:t>
      </w:r>
      <w:bookmarkEnd w:id="1"/>
    </w:p>
    <w:p w14:paraId="2648A394" w14:textId="77777777" w:rsidR="00223696" w:rsidRPr="00D11680" w:rsidRDefault="00223696" w:rsidP="00223696">
      <w:pPr>
        <w:rPr>
          <w:i/>
          <w:vanish/>
        </w:rPr>
      </w:pPr>
      <w:r w:rsidRPr="00D11680">
        <w:rPr>
          <w:i/>
        </w:rPr>
        <w:fldChar w:fldCharType="begin"/>
      </w:r>
      <w:r w:rsidRPr="00D11680">
        <w:rPr>
          <w:i/>
        </w:rPr>
        <w:instrText xml:space="preserve"> TC"(</w:instrText>
      </w:r>
      <w:bookmarkStart w:id="2" w:name="DocNumber"/>
      <w:r w:rsidRPr="00D11680">
        <w:rPr>
          <w:i/>
        </w:rPr>
        <w:instrText>A10-0165/2025</w:instrText>
      </w:r>
      <w:bookmarkEnd w:id="2"/>
      <w:r w:rsidRPr="00D11680">
        <w:rPr>
          <w:i/>
        </w:rPr>
        <w:instrText xml:space="preserve"> - Ordfører: Victor Negrescu)"\l3 \n&gt; \* MERGEFORMAT </w:instrText>
      </w:r>
      <w:r w:rsidRPr="00D11680">
        <w:rPr>
          <w:i/>
        </w:rPr>
        <w:fldChar w:fldCharType="end"/>
      </w:r>
    </w:p>
    <w:p w14:paraId="4BB81B9D" w14:textId="77777777" w:rsidR="00223696" w:rsidRPr="00D11680" w:rsidRDefault="00223696" w:rsidP="00223696">
      <w:pPr>
        <w:rPr>
          <w:vanish/>
        </w:rPr>
      </w:pPr>
      <w:bookmarkStart w:id="3" w:name="Commission"/>
      <w:r w:rsidRPr="00D11680">
        <w:rPr>
          <w:vanish/>
        </w:rPr>
        <w:t>Budgetudvalget</w:t>
      </w:r>
      <w:bookmarkEnd w:id="3"/>
    </w:p>
    <w:p w14:paraId="71082E5F" w14:textId="77777777" w:rsidR="00223696" w:rsidRPr="00D11680" w:rsidRDefault="00223696" w:rsidP="00223696">
      <w:pPr>
        <w:rPr>
          <w:vanish/>
        </w:rPr>
      </w:pPr>
      <w:bookmarkStart w:id="4" w:name="PE"/>
      <w:r w:rsidRPr="00D11680">
        <w:rPr>
          <w:vanish/>
        </w:rPr>
        <w:t>PE776.838</w:t>
      </w:r>
      <w:bookmarkEnd w:id="4"/>
    </w:p>
    <w:p w14:paraId="61E7F8A2" w14:textId="092CBCD8" w:rsidR="00223696" w:rsidRPr="00C95144" w:rsidRDefault="00223696" w:rsidP="00223696">
      <w:pPr>
        <w:pStyle w:val="ATHeading3"/>
      </w:pPr>
      <w:bookmarkStart w:id="5" w:name="Sujet"/>
      <w:r w:rsidRPr="00C95144">
        <w:t xml:space="preserve">Europa-Parlamentets beslutning af </w:t>
      </w:r>
      <w:r w:rsidR="004E1D40" w:rsidRPr="00C95144">
        <w:t>8</w:t>
      </w:r>
      <w:r w:rsidRPr="00C95144">
        <w:t>. oktober 2025 om Rådets holdning til forslag til Den Europæiske Unions ændringsbudget nr. 2/2025 for regnskabsåret 2025 – Ajourføring af indtægter (egne indtægter) og tilpasning af udgifter</w:t>
      </w:r>
      <w:bookmarkEnd w:id="5"/>
      <w:r w:rsidRPr="00C95144">
        <w:t xml:space="preserve"> </w:t>
      </w:r>
      <w:bookmarkStart w:id="6" w:name="References"/>
      <w:r w:rsidRPr="00C95144">
        <w:t>(12353/2025 – C10-0209/2025 – 2025/0206(BUD))</w:t>
      </w:r>
      <w:bookmarkEnd w:id="6"/>
    </w:p>
    <w:p w14:paraId="2219AC3F" w14:textId="77777777" w:rsidR="009A4DFD" w:rsidRPr="00D11680" w:rsidRDefault="009A4DFD" w:rsidP="009A4DFD">
      <w:pPr>
        <w:pStyle w:val="EPComma"/>
      </w:pPr>
      <w:bookmarkStart w:id="7" w:name="TextBodyBegin"/>
      <w:bookmarkEnd w:id="7"/>
      <w:r w:rsidRPr="00D11680">
        <w:rPr>
          <w:i/>
          <w:iCs/>
        </w:rPr>
        <w:t>Europa-Parlamentet,</w:t>
      </w:r>
    </w:p>
    <w:p w14:paraId="4DF1B86A" w14:textId="77777777" w:rsidR="009A4DFD" w:rsidRPr="00D11680" w:rsidRDefault="009A4DFD" w:rsidP="009A4DFD">
      <w:pPr>
        <w:pStyle w:val="NormalHanging12a"/>
      </w:pPr>
      <w:r w:rsidRPr="00D11680">
        <w:t>–</w:t>
      </w:r>
      <w:r w:rsidRPr="00D11680">
        <w:tab/>
        <w:t>der henviser til artikel 314 i traktaten om Den Europæiske Unions funktionsmåde,</w:t>
      </w:r>
    </w:p>
    <w:p w14:paraId="4D3C97F1" w14:textId="77777777" w:rsidR="009A4DFD" w:rsidRPr="00D11680" w:rsidRDefault="009A4DFD" w:rsidP="009A4DFD">
      <w:pPr>
        <w:pStyle w:val="NormalHanging12a"/>
      </w:pPr>
      <w:r w:rsidRPr="00D11680">
        <w:t>–</w:t>
      </w:r>
      <w:r w:rsidRPr="00D11680">
        <w:tab/>
        <w:t>der henviser til artikel 106A i traktaten om oprettelse af Det Europæiske Atomenergifællesskab,</w:t>
      </w:r>
    </w:p>
    <w:p w14:paraId="289DE5CC" w14:textId="77777777" w:rsidR="009A4DFD" w:rsidRPr="00D11680" w:rsidRDefault="009A4DFD" w:rsidP="009A4DFD">
      <w:pPr>
        <w:pStyle w:val="NormalHanging12a"/>
      </w:pPr>
      <w:r w:rsidRPr="00D11680">
        <w:t>–</w:t>
      </w:r>
      <w:r w:rsidRPr="00D11680">
        <w:tab/>
        <w:t xml:space="preserve">der henviser til Europa-Parlamentets og Rådets forordning (EU, </w:t>
      </w:r>
      <w:proofErr w:type="spellStart"/>
      <w:r w:rsidRPr="00D11680">
        <w:t>Euratom</w:t>
      </w:r>
      <w:proofErr w:type="spellEnd"/>
      <w:r w:rsidRPr="00D11680">
        <w:t>) 2024/2509 af 23. september 2024 om de finansielle regler vedrørende Unionens almindelige budget</w:t>
      </w:r>
      <w:r w:rsidRPr="00D11680">
        <w:rPr>
          <w:rStyle w:val="FootnoteReference"/>
        </w:rPr>
        <w:footnoteReference w:id="1"/>
      </w:r>
      <w:r w:rsidRPr="00D11680">
        <w:t>, særlig artikel 44,</w:t>
      </w:r>
    </w:p>
    <w:p w14:paraId="4C859681" w14:textId="77777777" w:rsidR="009A4DFD" w:rsidRPr="00D11680" w:rsidRDefault="009A4DFD" w:rsidP="009A4DFD">
      <w:pPr>
        <w:pStyle w:val="NormalHanging12a"/>
      </w:pPr>
      <w:r w:rsidRPr="00D11680">
        <w:t>–</w:t>
      </w:r>
      <w:r w:rsidRPr="00D11680">
        <w:tab/>
        <w:t>der henviser til Den Europæiske Unions almindelige budget for regnskabsåret 2025, endeligt vedtaget den 27. november 2024</w:t>
      </w:r>
      <w:r w:rsidRPr="00D11680">
        <w:rPr>
          <w:rStyle w:val="FootnoteReference"/>
        </w:rPr>
        <w:footnoteReference w:id="2"/>
      </w:r>
      <w:r w:rsidRPr="00D11680">
        <w:t>,</w:t>
      </w:r>
    </w:p>
    <w:p w14:paraId="3BEBB312" w14:textId="77777777" w:rsidR="009A4DFD" w:rsidRPr="00D11680" w:rsidRDefault="009A4DFD" w:rsidP="009A4DFD">
      <w:pPr>
        <w:pStyle w:val="NormalHanging12a"/>
      </w:pPr>
      <w:r w:rsidRPr="00D11680">
        <w:t>–</w:t>
      </w:r>
      <w:r w:rsidRPr="00D11680">
        <w:tab/>
        <w:t xml:space="preserve">der henviser til Rådets forordning (EU, </w:t>
      </w:r>
      <w:proofErr w:type="spellStart"/>
      <w:r w:rsidRPr="00D11680">
        <w:t>Euratom</w:t>
      </w:r>
      <w:proofErr w:type="spellEnd"/>
      <w:r w:rsidRPr="00D11680">
        <w:t>) 2020/2093 af 17. december 2020 om fastlæggelse af den flerårige finansielle ramme for årene 2021-2027</w:t>
      </w:r>
      <w:r w:rsidRPr="00D11680">
        <w:rPr>
          <w:rStyle w:val="FootnoteReference"/>
        </w:rPr>
        <w:footnoteReference w:id="3"/>
      </w:r>
      <w:r w:rsidRPr="00D11680">
        <w:t>,</w:t>
      </w:r>
    </w:p>
    <w:p w14:paraId="5C419C12" w14:textId="77777777" w:rsidR="009A4DFD" w:rsidRPr="00D11680" w:rsidRDefault="009A4DFD" w:rsidP="009A4DFD">
      <w:pPr>
        <w:pStyle w:val="NormalHanging12a"/>
      </w:pPr>
      <w:r w:rsidRPr="00D11680">
        <w:t>–</w:t>
      </w:r>
      <w:r w:rsidRPr="00D11680">
        <w:tab/>
        <w:t xml:space="preserve">der henviser til den </w:t>
      </w:r>
      <w:proofErr w:type="spellStart"/>
      <w:r w:rsidRPr="00D11680">
        <w:t>interinstitutionelle</w:t>
      </w:r>
      <w:proofErr w:type="spellEnd"/>
      <w:r w:rsidRPr="00D11680">
        <w:t xml:space="preserve"> aftale af 16. december 2020 mellem Europa-Parlamentet, Rådet og Kommissionen om budgetdisciplin, om samarbejde på budgetområdet og om forsvarlig økonomisk forvaltning samt om nye egne indtægter, herunder en køreplan hen imod indførelse af nye egne indtægter</w:t>
      </w:r>
      <w:r w:rsidRPr="00D11680">
        <w:rPr>
          <w:rStyle w:val="FootnoteReference"/>
        </w:rPr>
        <w:footnoteReference w:id="4"/>
      </w:r>
      <w:r w:rsidRPr="00D11680">
        <w:t>,</w:t>
      </w:r>
    </w:p>
    <w:p w14:paraId="5C0D32E8" w14:textId="77777777" w:rsidR="009A4DFD" w:rsidRPr="00D11680" w:rsidRDefault="009A4DFD" w:rsidP="009A4DFD">
      <w:pPr>
        <w:pStyle w:val="NormalHanging12a"/>
      </w:pPr>
      <w:r w:rsidRPr="00D11680">
        <w:t>–</w:t>
      </w:r>
      <w:r w:rsidRPr="00D11680">
        <w:tab/>
        <w:t xml:space="preserve">der henviser til Rådets afgørelse (EU, </w:t>
      </w:r>
      <w:proofErr w:type="spellStart"/>
      <w:r w:rsidRPr="00D11680">
        <w:t>Euratom</w:t>
      </w:r>
      <w:proofErr w:type="spellEnd"/>
      <w:r w:rsidRPr="00D11680">
        <w:t xml:space="preserve">) 2020/2053 af 14. december 2020 om </w:t>
      </w:r>
      <w:r w:rsidRPr="00D11680">
        <w:lastRenderedPageBreak/>
        <w:t xml:space="preserve">ordningen for Den Europæiske Unions egne indtægter og om ophævelse af afgørelse 2014/335/EU, </w:t>
      </w:r>
      <w:proofErr w:type="spellStart"/>
      <w:r w:rsidRPr="00D11680">
        <w:t>Euratom</w:t>
      </w:r>
      <w:proofErr w:type="spellEnd"/>
      <w:r w:rsidRPr="00D11680">
        <w:rPr>
          <w:rStyle w:val="FootnoteReference"/>
        </w:rPr>
        <w:footnoteReference w:id="5"/>
      </w:r>
      <w:r w:rsidRPr="00D11680">
        <w:t>,</w:t>
      </w:r>
    </w:p>
    <w:p w14:paraId="0166DC5B" w14:textId="77777777" w:rsidR="009A4DFD" w:rsidRPr="00D11680" w:rsidRDefault="009A4DFD" w:rsidP="009A4DFD">
      <w:pPr>
        <w:pStyle w:val="NormalHanging12a"/>
      </w:pPr>
      <w:r w:rsidRPr="00D11680">
        <w:t>–</w:t>
      </w:r>
      <w:r w:rsidRPr="00D11680">
        <w:tab/>
        <w:t>der henviser til forslag til ændringsbudget nr. 2/2025, vedtaget af Kommissionen den 4. juli 2025 (</w:t>
      </w:r>
      <w:proofErr w:type="gramStart"/>
      <w:r w:rsidRPr="00D11680">
        <w:t>COM(</w:t>
      </w:r>
      <w:proofErr w:type="gramEnd"/>
      <w:r w:rsidRPr="00D11680">
        <w:t>2025)0410),</w:t>
      </w:r>
    </w:p>
    <w:p w14:paraId="62203C04" w14:textId="77777777" w:rsidR="009A4DFD" w:rsidRPr="00D11680" w:rsidRDefault="009A4DFD" w:rsidP="009A4DFD">
      <w:pPr>
        <w:pStyle w:val="NormalHanging12a"/>
      </w:pPr>
      <w:r w:rsidRPr="00D11680">
        <w:t>–</w:t>
      </w:r>
      <w:r w:rsidRPr="00D11680">
        <w:tab/>
        <w:t>der henviser til Rådets holdning til forslag til ændringsbudget nr. 2/2025, vedtaget af Rådet den 16. september 2025 og fremsendt til Europa-Parlamentet den 17. september 2025 (12353/2025 – C10</w:t>
      </w:r>
      <w:r w:rsidRPr="00D11680">
        <w:noBreakHyphen/>
        <w:t>0209/2025),</w:t>
      </w:r>
    </w:p>
    <w:p w14:paraId="09AB3EB3" w14:textId="77777777" w:rsidR="009A4DFD" w:rsidRPr="00D11680" w:rsidRDefault="009A4DFD" w:rsidP="009A4DFD">
      <w:pPr>
        <w:pStyle w:val="NormalHanging12a"/>
      </w:pPr>
      <w:r w:rsidRPr="00D11680">
        <w:t>–</w:t>
      </w:r>
      <w:r w:rsidRPr="00D11680">
        <w:tab/>
        <w:t>der henviser til forretningsordenens artikel 96 og 98,</w:t>
      </w:r>
    </w:p>
    <w:p w14:paraId="0990FE6C" w14:textId="77777777" w:rsidR="009A4DFD" w:rsidRPr="00D11680" w:rsidRDefault="009A4DFD" w:rsidP="009A4DFD">
      <w:pPr>
        <w:pStyle w:val="NormalHanging12a"/>
      </w:pPr>
      <w:r w:rsidRPr="00D11680">
        <w:t>–</w:t>
      </w:r>
      <w:r w:rsidRPr="00D11680">
        <w:tab/>
        <w:t>der henviser til betænkning fra Budgetudvalget (A10-0165/2025),</w:t>
      </w:r>
    </w:p>
    <w:p w14:paraId="1A7D1ADA" w14:textId="77777777" w:rsidR="009A4DFD" w:rsidRPr="00D11680" w:rsidRDefault="009A4DFD" w:rsidP="009A4DFD">
      <w:pPr>
        <w:pStyle w:val="NormalHanging12a"/>
      </w:pPr>
      <w:r w:rsidRPr="00D11680">
        <w:t>A.</w:t>
      </w:r>
      <w:r w:rsidRPr="00D11680">
        <w:tab/>
        <w:t>der henviser til, at formålet med forslag til ændringsbudget nr. 2/2025 er at ajourføre budgettets indtægtsside for at tage hensyn til den seneste udvikling og desuden at tilpasse budgettets udgiftsside i relation til en række udgiftsposter;</w:t>
      </w:r>
    </w:p>
    <w:p w14:paraId="4C7BD7B7" w14:textId="77777777" w:rsidR="009A4DFD" w:rsidRPr="00D11680" w:rsidRDefault="009A4DFD" w:rsidP="009A4DFD">
      <w:pPr>
        <w:pStyle w:val="NormalHanging12a"/>
      </w:pPr>
      <w:r w:rsidRPr="00D11680">
        <w:t>B.</w:t>
      </w:r>
      <w:r w:rsidRPr="00D11680">
        <w:tab/>
        <w:t>der henviser til, at forslag til ændringsbudget nr. 2/2025 indebærer en revision af overslagene over egne indtægter i relation til told, som er 1 % lavere end overslaget fra maj 2024, i relation til det reducerede momsberegningsgrundlag, som er 2,4 % lavere end overslaget fra maj 2024, i relation til ikkegenanvendt plastemballageaffald, som er 3,5 % lavere end overslaget fra maj 2024, samt i relation til EU's samlede BNI-grundlag, som er 0,5 % højere end overslaget fra maj 2024;</w:t>
      </w:r>
    </w:p>
    <w:p w14:paraId="460F5C00" w14:textId="77777777" w:rsidR="009A4DFD" w:rsidRPr="00D11680" w:rsidRDefault="009A4DFD" w:rsidP="009A4DFD">
      <w:pPr>
        <w:pStyle w:val="NormalHanging12a"/>
      </w:pPr>
      <w:r w:rsidRPr="00D11680">
        <w:t>C.</w:t>
      </w:r>
      <w:r w:rsidRPr="00D11680">
        <w:tab/>
        <w:t>der henviser til, at forslag til ændringsbudget nr. 2/2025 også ajourfører Det Forenede Kongeriges bidrag for 2025 i henhold til udtrædelsesaftalen, som er på 1,53 mia. EUR, hvilket er en beskeden reduktion på 25 mio. EUR i forhold til overslaget i budgettet for 2025;</w:t>
      </w:r>
    </w:p>
    <w:p w14:paraId="564941A4" w14:textId="77777777" w:rsidR="009A4DFD" w:rsidRPr="00D11680" w:rsidRDefault="009A4DFD" w:rsidP="009A4DFD">
      <w:pPr>
        <w:pStyle w:val="NormalHanging12a"/>
      </w:pPr>
      <w:r w:rsidRPr="00D11680">
        <w:t>D.</w:t>
      </w:r>
      <w:r w:rsidRPr="00D11680">
        <w:tab/>
        <w:t>der henviser til, at forslag til ændringsbudget nr. 2/2025 også tager højde for de bøder og strafgebyrer for overtrædelser samt for de negative afkast, der blev inddrevet frem til udgangen af maj 2025, hvilket forhøjer det oprindelige overslag over bøder og strafgebyrer i budgettet for 2025 med 291 mio. EUR;</w:t>
      </w:r>
    </w:p>
    <w:p w14:paraId="53682205" w14:textId="77777777" w:rsidR="009A4DFD" w:rsidRPr="00D11680" w:rsidRDefault="009A4DFD" w:rsidP="009A4DFD">
      <w:pPr>
        <w:pStyle w:val="NormalHanging12a"/>
      </w:pPr>
      <w:r w:rsidRPr="00D11680">
        <w:t>E.</w:t>
      </w:r>
      <w:r w:rsidRPr="00D11680">
        <w:tab/>
        <w:t>der henviser til, at der i forslag til ændringsbudget nr. 2/2025 for så vidt angår udgiftssiden foreslås en række ajourføringer af forpligtelses- og betalingsbevillingerne, hvoraf den vigtigste er en forhøjelse på 3,5 mia. EUR i betalinger til Den Europæiske Landbrugsfond for Udvikling af Landdistrikterne;</w:t>
      </w:r>
    </w:p>
    <w:p w14:paraId="5CEDF3CE" w14:textId="77777777" w:rsidR="009A4DFD" w:rsidRPr="00D11680" w:rsidRDefault="009A4DFD" w:rsidP="009A4DFD">
      <w:pPr>
        <w:pStyle w:val="NormalHanging12a"/>
      </w:pPr>
      <w:r w:rsidRPr="00D11680">
        <w:t>1.</w:t>
      </w:r>
      <w:r w:rsidRPr="00D11680">
        <w:tab/>
        <w:t>noterer sig forslag til ændringsbudget nr. 2/2025 som forelagt af Kommissionen;</w:t>
      </w:r>
    </w:p>
    <w:p w14:paraId="2FAF0572" w14:textId="77777777" w:rsidR="009A4DFD" w:rsidRPr="00D11680" w:rsidRDefault="009A4DFD" w:rsidP="009A4DFD">
      <w:pPr>
        <w:pStyle w:val="NormalHanging12a"/>
      </w:pPr>
      <w:r w:rsidRPr="00D11680">
        <w:t>2.</w:t>
      </w:r>
      <w:r w:rsidRPr="00D11680">
        <w:tab/>
        <w:t>noterer sig, at faldet i andre egne indtægter end BNI og de yderligere betalingsbehov på udgiftssiden resulterer i et samlet øget behov for BNI-bidrag på 4,3 mia. EUR; erkender, at dette indebærer en ændring af den ensartede BNI-bidragssats fra 0,527 % (i FÆB 1/2025) til 0,547 % i FÆB 2/2025;</w:t>
      </w:r>
    </w:p>
    <w:p w14:paraId="6870B78F" w14:textId="6C6E5824" w:rsidR="009A4DFD" w:rsidRPr="00D11680" w:rsidRDefault="009A4DFD" w:rsidP="009A4DFD">
      <w:pPr>
        <w:pStyle w:val="NormalHanging12a"/>
      </w:pPr>
      <w:r w:rsidRPr="00D11680">
        <w:t>3.</w:t>
      </w:r>
      <w:r w:rsidRPr="00D11680">
        <w:tab/>
        <w:t xml:space="preserve">understreger, at de faste reduktioner af det BNI-baserede bidrag for de fem medlemsstater, der nyder godt af disse ordninger, med forslag til ændringsbudget nr. 2/2025 beløber sig til omkring 9,2 mia. EUR (brutto); understreger, at disse rabatter </w:t>
      </w:r>
      <w:r w:rsidRPr="00D11680">
        <w:lastRenderedPageBreak/>
        <w:t>er inflationsbetingede og derfor er steget med en højere hastighed end lofterne</w:t>
      </w:r>
      <w:r w:rsidR="00DC493F" w:rsidRPr="00D11680">
        <w:t xml:space="preserve"> i den flerårige finansielle ramme (FFR)</w:t>
      </w:r>
      <w:r w:rsidRPr="00D11680">
        <w:t xml:space="preserve">, som justeres årligt på grundlag af </w:t>
      </w:r>
      <w:proofErr w:type="spellStart"/>
      <w:r w:rsidRPr="00D11680">
        <w:t>deflatoren</w:t>
      </w:r>
      <w:proofErr w:type="spellEnd"/>
      <w:r w:rsidRPr="00D11680">
        <w:t xml:space="preserve"> på 2 %; fremhæver, at Unionens budget har været under betydeligt pres for at kunne reagere på forskellige kriser i de seneste år; understreger, at denne afvigelse med hensyn til rabatterne øger byrden for de øvrige medlemsstater;</w:t>
      </w:r>
    </w:p>
    <w:p w14:paraId="473EDE49" w14:textId="77777777" w:rsidR="009A4DFD" w:rsidRPr="00D11680" w:rsidRDefault="009A4DFD" w:rsidP="009A4DFD">
      <w:pPr>
        <w:pStyle w:val="NormalHanging12a"/>
      </w:pPr>
      <w:r w:rsidRPr="00D11680">
        <w:t>4.</w:t>
      </w:r>
      <w:r w:rsidRPr="00D11680">
        <w:tab/>
        <w:t xml:space="preserve">glæder sig over Kommissionens nye bestræbelser på at fremlægge flere muligheder for nye indtægtskilder for Unionens budget; noterer sig i den henseende Kommissionens forslag til Rådets afgørelse om ordningen for Den Europæiske Unions egne indtægter af 16. juli 2025; mener, at der er behov for en hurtig vedtagelse af nye egne indtægter for at øge de midler, der er til rådighed for budgettet; understreger, at nye egne indtægter skal være rimelige og er helt afgørende, ikke bare for at gøre det muligt at tilbagebetale </w:t>
      </w:r>
      <w:proofErr w:type="spellStart"/>
      <w:r w:rsidRPr="00D11680">
        <w:t>NextGenerationEU</w:t>
      </w:r>
      <w:proofErr w:type="spellEnd"/>
      <w:r w:rsidRPr="00D11680">
        <w:t>-lånene, men for at sikre, at EU er i stand til at dække sine øgede udgiftsbehov; minder i den forbindelse om sit mangeårige standpunkt om, at ekstraordinære indtægter fra bøder og strafgebyrer eller tilsvarende beløb bør anvendes som supplerende indtægter for Unionens budget med henblik på kriseberedskab eller uventede behov og ikke føre til et tilsvarende fald i de BNI-baserede bidrag; understreger, at sådanne beløb i den nuværende FFR "gives tilbage" til medlemsstaterne;</w:t>
      </w:r>
    </w:p>
    <w:p w14:paraId="51E28197" w14:textId="77777777" w:rsidR="009A4DFD" w:rsidRPr="00D11680" w:rsidRDefault="009A4DFD" w:rsidP="009A4DFD">
      <w:pPr>
        <w:pStyle w:val="NormalHanging12a"/>
      </w:pPr>
      <w:r w:rsidRPr="00D11680">
        <w:t>5.</w:t>
      </w:r>
      <w:r w:rsidRPr="00D11680">
        <w:tab/>
        <w:t>understreger, at erfaringerne fra de seneste års kriser – pandemien, energichok og krigen i Ukraine – kræver alvorlige overvejelser om fleksibilitet i den næste FFR; gentager sin holdning om, at det fremtidige fleksibilitetsinstrument bør tilføres midler gennem en række yderligere finansieringskilder, herunder det årlige overskud fra det foregående år, bøder og tilbageførsler; noterer sig de relevante bestemmelser i den foreslåede FFR-forordning, hvori Kommissionen foreslår at tilføje visse beløb til fleksibilitetsinstrumentet i overensstemmelse med Parlamentets mangeårige krav; minder imidlertid om, at fleksibilitet ikke bør indføres på bekostning af gennemsigtighed;</w:t>
      </w:r>
    </w:p>
    <w:p w14:paraId="79926D58" w14:textId="77777777" w:rsidR="009A4DFD" w:rsidRPr="00D11680" w:rsidRDefault="009A4DFD" w:rsidP="009A4DFD">
      <w:pPr>
        <w:pStyle w:val="NormalHanging12a"/>
      </w:pPr>
      <w:r w:rsidRPr="00D11680">
        <w:t>6.</w:t>
      </w:r>
      <w:r w:rsidRPr="00D11680">
        <w:tab/>
        <w:t>glæder sig over opjusteringerne af betalingsbevillingerne til Fonden for Udvikling af Landdistrikterne, som tyder på, at gennemførelsen af de strategiske planer under den fælles landbrugspolitik for 2023-2027 samt interventionerne under programmerne for 2014-2020 tager fart, og dermed kompenserer for forsinkelser i tidligere budgetår;</w:t>
      </w:r>
    </w:p>
    <w:p w14:paraId="0179D3F7" w14:textId="77777777" w:rsidR="009A4DFD" w:rsidRPr="00D11680" w:rsidRDefault="009A4DFD" w:rsidP="009A4DFD">
      <w:pPr>
        <w:pStyle w:val="NormalHanging12a"/>
      </w:pPr>
      <w:r w:rsidRPr="00D11680">
        <w:t>7.</w:t>
      </w:r>
      <w:r w:rsidRPr="00D11680">
        <w:tab/>
        <w:t>roser de igangværende forbedringer inden for kulstofgrænsetilpasningsmekanismen (CBAM), men sætter spørgsmålstegn ved, hvorfor en forenkling af CBAM-forordningen skulle medføre en stigning i behovene i størrelsesordenen 8 mio. EUR snarere end en reduktion som følge af effektivitetsgevinster;</w:t>
      </w:r>
    </w:p>
    <w:p w14:paraId="39C55C1C" w14:textId="77777777" w:rsidR="009A4DFD" w:rsidRPr="00D11680" w:rsidRDefault="009A4DFD" w:rsidP="009A4DFD">
      <w:pPr>
        <w:pStyle w:val="NormalHanging12a"/>
      </w:pPr>
      <w:r w:rsidRPr="00D11680">
        <w:t>8.</w:t>
      </w:r>
      <w:r w:rsidRPr="00D11680">
        <w:tab/>
        <w:t>sætter endvidere spørgsmålstegn ved kompensationen for de yderligere behov i forbindelse med det centraliserede toldsystem under udgiftsområde 1 og CBAM i udgiftsområde 3 i form af en tilsvarende nedskæring af bevillingerne under instrumentet for toldkontroludstyr under udgiftsområde 4; beklager, at den nuværende budgetsituation har fået Kommissionen til at omfordele betydelige midler på tværs af udgiftsområderne, og minder om sit mangeårige standpunkt om, at nye politiske prioriteter, opgaver eller behov bør ledsages af nye midler; understreger på det kraftigste, at gentagne omfordelinger ikke er en holdbar måde at finansiere Unionens prioriteter på, da de skader investeringerne og bringer opfyldelsen af de aftalte politiske mål i fare;</w:t>
      </w:r>
    </w:p>
    <w:p w14:paraId="636B6C8C" w14:textId="77777777" w:rsidR="009A4DFD" w:rsidRPr="00D11680" w:rsidRDefault="009A4DFD" w:rsidP="009A4DFD">
      <w:pPr>
        <w:pStyle w:val="NormalHanging12a"/>
      </w:pPr>
      <w:r w:rsidRPr="00D11680">
        <w:lastRenderedPageBreak/>
        <w:t>9.</w:t>
      </w:r>
      <w:r w:rsidRPr="00D11680">
        <w:tab/>
        <w:t>fremhæver og glæder sig over, at visse ændringer i stillingsfortegnelsen for EU's Myndighed for Bekæmpelse af Hvidvask af Penge vil gøre det muligt for dette agentur at udføre sine opgaver rettidigt og effektivt; minder om, at denne yderst vigtige institution spiller en central rolle med hensyn til at beskytte skatteydernes penge og er blevet støttet kraftigt af Europa-Parlamentet;</w:t>
      </w:r>
    </w:p>
    <w:p w14:paraId="2B301C04" w14:textId="77777777" w:rsidR="009A4DFD" w:rsidRPr="00D11680" w:rsidRDefault="009A4DFD" w:rsidP="009A4DFD">
      <w:pPr>
        <w:pStyle w:val="NormalHanging12a"/>
      </w:pPr>
      <w:r w:rsidRPr="00D11680">
        <w:t>10.</w:t>
      </w:r>
      <w:r w:rsidRPr="00D11680">
        <w:tab/>
        <w:t>glæder sig over Bulgariens fremskridt hen imod indførelsen af euroen og støtter fuldt ud anvendelsen af yderligere midler med henblik på at understøtte overgangen til den fælles valuta med passende og målrettede kommunikationsaktiviteter; anerkender, at fleksibilitetsinstrumentet skal anvendes til dette formål på grund af en uudnyttet margen under udgiftsområde 2b;</w:t>
      </w:r>
    </w:p>
    <w:p w14:paraId="6FAF812B" w14:textId="77777777" w:rsidR="009A4DFD" w:rsidRPr="00D11680" w:rsidRDefault="009A4DFD" w:rsidP="009A4DFD">
      <w:pPr>
        <w:pStyle w:val="NormalHanging12a"/>
      </w:pPr>
      <w:r w:rsidRPr="00D11680">
        <w:t>11.</w:t>
      </w:r>
      <w:r w:rsidRPr="00D11680">
        <w:tab/>
        <w:t>godkender Rådets holdning til forslag til ændringsbudget nr. 2/2025;</w:t>
      </w:r>
    </w:p>
    <w:p w14:paraId="3AFB45E8" w14:textId="77777777" w:rsidR="009A4DFD" w:rsidRPr="00D11680" w:rsidRDefault="009A4DFD" w:rsidP="009A4DFD">
      <w:pPr>
        <w:pStyle w:val="NormalHanging12a"/>
      </w:pPr>
      <w:r w:rsidRPr="00D11680">
        <w:t>12.</w:t>
      </w:r>
      <w:r w:rsidRPr="00D11680">
        <w:tab/>
        <w:t xml:space="preserve">pålægger sin formand at fastslå, at ændringsbudget nr. 2/2025 er endeligt vedtaget, og drage omsorg for, at det offentliggøres i </w:t>
      </w:r>
      <w:r w:rsidRPr="00D11680">
        <w:rPr>
          <w:i/>
          <w:iCs/>
        </w:rPr>
        <w:t>Den Europæiske Unions Tidende</w:t>
      </w:r>
      <w:r w:rsidRPr="00D11680">
        <w:t>;</w:t>
      </w:r>
    </w:p>
    <w:p w14:paraId="54B5B5B7" w14:textId="0C7329E2" w:rsidR="00482B42" w:rsidRPr="00D11680" w:rsidRDefault="009A4DFD" w:rsidP="00482B42">
      <w:pPr>
        <w:pStyle w:val="NormalHanging12a"/>
      </w:pPr>
      <w:r w:rsidRPr="00D11680">
        <w:t>13.</w:t>
      </w:r>
      <w:r w:rsidRPr="00D11680">
        <w:tab/>
        <w:t>pålægger sin formand at sende denne beslutning til Rådet og Kommissionen og til de øvrige berørte institutioner og organer samt til de nationale parlamenter.</w:t>
      </w:r>
    </w:p>
    <w:p w14:paraId="774284F9" w14:textId="58A322EC" w:rsidR="00E365E1" w:rsidRPr="00D11680" w:rsidRDefault="00E365E1" w:rsidP="00223696"/>
    <w:sectPr w:rsidR="00E365E1" w:rsidRPr="00D11680" w:rsidSect="00482B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F7408" w14:textId="77777777" w:rsidR="00223696" w:rsidRPr="00482B42" w:rsidRDefault="00223696">
      <w:r w:rsidRPr="00482B42">
        <w:separator/>
      </w:r>
    </w:p>
  </w:endnote>
  <w:endnote w:type="continuationSeparator" w:id="0">
    <w:p w14:paraId="00914FE1" w14:textId="77777777" w:rsidR="00223696" w:rsidRPr="00482B42" w:rsidRDefault="00223696">
      <w:r w:rsidRPr="00482B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F86EE" w14:textId="77777777" w:rsidR="00064002" w:rsidRPr="00482B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262AD" w14:textId="77777777" w:rsidR="00064002" w:rsidRPr="00482B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C6578" w14:textId="77777777" w:rsidR="00064002" w:rsidRPr="00482B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764B3" w14:textId="77777777" w:rsidR="00223696" w:rsidRPr="00482B42" w:rsidRDefault="00223696">
      <w:r w:rsidRPr="00482B42">
        <w:separator/>
      </w:r>
    </w:p>
  </w:footnote>
  <w:footnote w:type="continuationSeparator" w:id="0">
    <w:p w14:paraId="3250BF4D" w14:textId="77777777" w:rsidR="00223696" w:rsidRPr="00482B42" w:rsidRDefault="00223696">
      <w:r w:rsidRPr="00482B42">
        <w:continuationSeparator/>
      </w:r>
    </w:p>
  </w:footnote>
  <w:footnote w:id="1">
    <w:p w14:paraId="261A5598" w14:textId="73C17EE7" w:rsidR="009A4DFD" w:rsidRPr="00C95144" w:rsidRDefault="009A4DFD" w:rsidP="00482B42">
      <w:pPr>
        <w:pStyle w:val="FootnoteText"/>
        <w:ind w:left="567" w:hanging="567"/>
        <w:rPr>
          <w:sz w:val="24"/>
          <w:lang w:val="fi-FI"/>
        </w:rPr>
      </w:pPr>
      <w:r w:rsidRPr="00482B42">
        <w:rPr>
          <w:rStyle w:val="FootnoteReference"/>
          <w:sz w:val="24"/>
          <w:lang w:val="da-DK"/>
        </w:rPr>
        <w:footnoteRef/>
      </w:r>
      <w:r w:rsidR="00482B42" w:rsidRPr="00C95144">
        <w:rPr>
          <w:sz w:val="24"/>
          <w:lang w:val="fi-FI"/>
        </w:rPr>
        <w:t xml:space="preserve"> </w:t>
      </w:r>
      <w:r w:rsidR="00482B42" w:rsidRPr="00C95144">
        <w:rPr>
          <w:sz w:val="24"/>
          <w:lang w:val="fi-FI"/>
        </w:rPr>
        <w:tab/>
      </w:r>
      <w:r w:rsidRPr="00C95144">
        <w:rPr>
          <w:sz w:val="24"/>
          <w:lang w:val="fi-FI"/>
        </w:rPr>
        <w:t xml:space="preserve">EUT L, 2024/2509, 26.9.2024, ELI: </w:t>
      </w:r>
      <w:hyperlink r:id="rId1" w:history="1">
        <w:r w:rsidRPr="00C95144">
          <w:rPr>
            <w:rStyle w:val="Hyperlink"/>
            <w:sz w:val="24"/>
            <w:lang w:val="fi-FI"/>
          </w:rPr>
          <w:t>http://data.europa.eu/eli/reg/2024/2509/oj</w:t>
        </w:r>
      </w:hyperlink>
      <w:r w:rsidRPr="00C95144">
        <w:rPr>
          <w:sz w:val="24"/>
          <w:lang w:val="fi-FI"/>
        </w:rPr>
        <w:t>.</w:t>
      </w:r>
    </w:p>
  </w:footnote>
  <w:footnote w:id="2">
    <w:p w14:paraId="5B52710C" w14:textId="4BB56BBB" w:rsidR="009A4DFD" w:rsidRPr="00C95144" w:rsidRDefault="009A4DFD" w:rsidP="00482B42">
      <w:pPr>
        <w:pStyle w:val="FootnoteText"/>
        <w:ind w:left="567" w:hanging="567"/>
        <w:rPr>
          <w:rStyle w:val="Hyperlink"/>
          <w:sz w:val="24"/>
          <w:lang w:val="fi-FI"/>
        </w:rPr>
      </w:pPr>
      <w:r w:rsidRPr="00482B42">
        <w:rPr>
          <w:rStyle w:val="FootnoteReference"/>
          <w:sz w:val="24"/>
          <w:lang w:val="da-DK"/>
        </w:rPr>
        <w:footnoteRef/>
      </w:r>
      <w:r w:rsidR="00482B42" w:rsidRPr="00C95144">
        <w:rPr>
          <w:sz w:val="24"/>
          <w:lang w:val="fi-FI"/>
        </w:rPr>
        <w:t xml:space="preserve"> </w:t>
      </w:r>
      <w:r w:rsidR="00482B42" w:rsidRPr="00C95144">
        <w:rPr>
          <w:sz w:val="24"/>
          <w:lang w:val="fi-FI"/>
        </w:rPr>
        <w:tab/>
      </w:r>
      <w:r w:rsidRPr="00C95144">
        <w:rPr>
          <w:sz w:val="24"/>
          <w:lang w:val="fi-FI"/>
        </w:rPr>
        <w:t xml:space="preserve">EUT L, 2025/31, 27.2.2025, ELI: </w:t>
      </w:r>
      <w:r w:rsidR="00AB69A4">
        <w:fldChar w:fldCharType="begin"/>
      </w:r>
      <w:r w:rsidR="00AB69A4" w:rsidRPr="00AB69A4">
        <w:rPr>
          <w:lang w:val="fi-FI"/>
        </w:rPr>
        <w:instrText>HYPERLINK "http://data.europa.eu/eli/budget/2025/31/oj%20"</w:instrText>
      </w:r>
      <w:r w:rsidR="00AB69A4">
        <w:fldChar w:fldCharType="separate"/>
      </w:r>
      <w:r w:rsidRPr="00C95144">
        <w:rPr>
          <w:rStyle w:val="Hyperlink"/>
          <w:sz w:val="24"/>
          <w:lang w:val="fi-FI"/>
        </w:rPr>
        <w:t>http://data.europa.eu/eli/budget/2025/31/oj</w:t>
      </w:r>
      <w:r w:rsidR="00AB69A4">
        <w:rPr>
          <w:rStyle w:val="Hyperlink"/>
          <w:sz w:val="24"/>
          <w:lang w:val="fi-FI"/>
        </w:rPr>
        <w:fldChar w:fldCharType="end"/>
      </w:r>
      <w:r w:rsidRPr="00C95144">
        <w:rPr>
          <w:rStyle w:val="Hyperlink"/>
          <w:sz w:val="24"/>
          <w:lang w:val="fi-FI"/>
        </w:rPr>
        <w:t>.</w:t>
      </w:r>
    </w:p>
  </w:footnote>
  <w:footnote w:id="3">
    <w:p w14:paraId="04C7C87B" w14:textId="3FE9AAF9" w:rsidR="009A4DFD" w:rsidRPr="00482B42" w:rsidRDefault="009A4DFD" w:rsidP="00482B42">
      <w:pPr>
        <w:pStyle w:val="FootnoteText"/>
        <w:ind w:left="567" w:hanging="567"/>
        <w:rPr>
          <w:rStyle w:val="Hyperlink"/>
          <w:sz w:val="24"/>
          <w:lang w:val="da-DK"/>
        </w:rPr>
      </w:pPr>
      <w:r w:rsidRPr="00482B42">
        <w:rPr>
          <w:rStyle w:val="FootnoteReference"/>
          <w:sz w:val="24"/>
          <w:lang w:val="da-DK"/>
        </w:rPr>
        <w:footnoteRef/>
      </w:r>
      <w:r w:rsidR="00482B42" w:rsidRPr="00482B42">
        <w:rPr>
          <w:sz w:val="24"/>
          <w:lang w:val="da-DK"/>
        </w:rPr>
        <w:t xml:space="preserve"> </w:t>
      </w:r>
      <w:r w:rsidR="00482B42" w:rsidRPr="00482B42">
        <w:rPr>
          <w:sz w:val="24"/>
          <w:lang w:val="da-DK"/>
        </w:rPr>
        <w:tab/>
      </w:r>
      <w:r w:rsidRPr="00482B42">
        <w:rPr>
          <w:sz w:val="24"/>
          <w:lang w:val="da-DK"/>
        </w:rPr>
        <w:t xml:space="preserve">EUT L 433 I af 22.12.2020, s. 11, ELI: </w:t>
      </w:r>
      <w:r w:rsidR="00AB69A4">
        <w:fldChar w:fldCharType="begin"/>
      </w:r>
      <w:r w:rsidR="00AB69A4" w:rsidRPr="00AB69A4">
        <w:rPr>
          <w:lang w:val="da-DK"/>
        </w:rPr>
        <w:instrText>HYPERLINK "http://data.europa.eu/eli/reg/2020/433/oj"</w:instrText>
      </w:r>
      <w:r w:rsidR="00AB69A4">
        <w:fldChar w:fldCharType="separate"/>
      </w:r>
      <w:r w:rsidRPr="00482B42">
        <w:rPr>
          <w:rStyle w:val="Hyperlink"/>
          <w:sz w:val="24"/>
          <w:lang w:val="da-DK"/>
        </w:rPr>
        <w:t>http://data.europa.eu/eli/reg/2020/433/oj</w:t>
      </w:r>
      <w:r w:rsidR="00AB69A4">
        <w:rPr>
          <w:rStyle w:val="Hyperlink"/>
          <w:sz w:val="24"/>
          <w:lang w:val="da-DK"/>
        </w:rPr>
        <w:fldChar w:fldCharType="end"/>
      </w:r>
      <w:r w:rsidRPr="00482B42">
        <w:rPr>
          <w:rStyle w:val="Hyperlink"/>
          <w:sz w:val="24"/>
          <w:lang w:val="da-DK"/>
        </w:rPr>
        <w:t>.</w:t>
      </w:r>
    </w:p>
  </w:footnote>
  <w:footnote w:id="4">
    <w:p w14:paraId="7F62D878" w14:textId="7629C9E8" w:rsidR="009A4DFD" w:rsidRPr="00482B42" w:rsidRDefault="009A4DFD" w:rsidP="00482B42">
      <w:pPr>
        <w:pStyle w:val="FootnoteText"/>
        <w:ind w:left="567" w:hanging="567"/>
        <w:rPr>
          <w:sz w:val="24"/>
          <w:lang w:val="da-DK"/>
        </w:rPr>
      </w:pPr>
      <w:r w:rsidRPr="00482B42">
        <w:rPr>
          <w:rStyle w:val="FootnoteReference"/>
          <w:sz w:val="24"/>
          <w:lang w:val="da-DK"/>
        </w:rPr>
        <w:footnoteRef/>
      </w:r>
      <w:r w:rsidR="00482B42" w:rsidRPr="00482B42">
        <w:rPr>
          <w:sz w:val="24"/>
          <w:lang w:val="da-DK"/>
        </w:rPr>
        <w:t xml:space="preserve"> </w:t>
      </w:r>
      <w:r w:rsidR="00482B42" w:rsidRPr="00482B42">
        <w:rPr>
          <w:sz w:val="24"/>
          <w:lang w:val="da-DK"/>
        </w:rPr>
        <w:tab/>
      </w:r>
      <w:r w:rsidRPr="00482B42">
        <w:rPr>
          <w:sz w:val="24"/>
          <w:lang w:val="da-DK"/>
        </w:rPr>
        <w:t xml:space="preserve">EUT L 433 I af 22.12.2020, s. 28, ELI: </w:t>
      </w:r>
      <w:hyperlink r:id="rId2" w:history="1">
        <w:r w:rsidRPr="00482B42">
          <w:rPr>
            <w:rStyle w:val="Hyperlink"/>
            <w:sz w:val="24"/>
            <w:lang w:val="da-DK"/>
          </w:rPr>
          <w:t>http://data.europa.eu/eli/agree_interinstit/2020/1222/oj</w:t>
        </w:r>
      </w:hyperlink>
      <w:r w:rsidRPr="00482B42">
        <w:rPr>
          <w:rStyle w:val="Hyperlink"/>
          <w:sz w:val="24"/>
          <w:lang w:val="da-DK"/>
        </w:rPr>
        <w:t>.</w:t>
      </w:r>
    </w:p>
  </w:footnote>
  <w:footnote w:id="5">
    <w:p w14:paraId="0E175FDE" w14:textId="28FF2BB9" w:rsidR="009A4DFD" w:rsidRPr="00482B42" w:rsidRDefault="009A4DFD" w:rsidP="00482B42">
      <w:pPr>
        <w:pStyle w:val="FootnoteText"/>
        <w:ind w:left="567" w:hanging="567"/>
        <w:rPr>
          <w:sz w:val="24"/>
          <w:lang w:val="da-DK"/>
        </w:rPr>
      </w:pPr>
      <w:r w:rsidRPr="00482B42">
        <w:rPr>
          <w:rStyle w:val="FootnoteReference"/>
          <w:sz w:val="24"/>
          <w:lang w:val="da-DK"/>
        </w:rPr>
        <w:footnoteRef/>
      </w:r>
      <w:r w:rsidR="00482B42" w:rsidRPr="00482B42">
        <w:rPr>
          <w:sz w:val="24"/>
          <w:lang w:val="da-DK"/>
        </w:rPr>
        <w:t xml:space="preserve"> </w:t>
      </w:r>
      <w:r w:rsidR="00482B42" w:rsidRPr="00482B42">
        <w:rPr>
          <w:sz w:val="24"/>
          <w:lang w:val="da-DK"/>
        </w:rPr>
        <w:tab/>
      </w:r>
      <w:r w:rsidRPr="00482B42">
        <w:rPr>
          <w:sz w:val="24"/>
          <w:lang w:val="da-DK"/>
        </w:rPr>
        <w:t xml:space="preserve">EUT L 424 af 15.12.2020, s. 1, ELI: </w:t>
      </w:r>
      <w:hyperlink r:id="rId3" w:history="1">
        <w:r w:rsidRPr="00482B42">
          <w:rPr>
            <w:rStyle w:val="Hyperlink"/>
            <w:sz w:val="24"/>
            <w:lang w:val="da-DK"/>
          </w:rPr>
          <w:t>http://data.europa.eu/eli/dec/2020/2053/oj</w:t>
        </w:r>
      </w:hyperlink>
      <w:r w:rsidRPr="00482B42">
        <w:rPr>
          <w:rStyle w:val="Hyperlink"/>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5FDEF" w14:textId="77777777" w:rsidR="00064002" w:rsidRPr="00482B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B89EA" w14:textId="77777777" w:rsidR="00064002" w:rsidRPr="00482B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CCC20" w14:textId="77777777" w:rsidR="00064002" w:rsidRPr="00482B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6298241">
    <w:abstractNumId w:val="9"/>
  </w:num>
  <w:num w:numId="2" w16cid:durableId="290551632">
    <w:abstractNumId w:val="9"/>
  </w:num>
  <w:num w:numId="3" w16cid:durableId="1829517489">
    <w:abstractNumId w:val="7"/>
  </w:num>
  <w:num w:numId="4" w16cid:durableId="1114980292">
    <w:abstractNumId w:val="7"/>
  </w:num>
  <w:num w:numId="5" w16cid:durableId="279337299">
    <w:abstractNumId w:val="6"/>
  </w:num>
  <w:num w:numId="6" w16cid:durableId="1907758842">
    <w:abstractNumId w:val="6"/>
  </w:num>
  <w:num w:numId="7" w16cid:durableId="1260943314">
    <w:abstractNumId w:val="5"/>
  </w:num>
  <w:num w:numId="8" w16cid:durableId="1970164445">
    <w:abstractNumId w:val="5"/>
  </w:num>
  <w:num w:numId="9" w16cid:durableId="1146700483">
    <w:abstractNumId w:val="4"/>
  </w:num>
  <w:num w:numId="10" w16cid:durableId="1017344706">
    <w:abstractNumId w:val="4"/>
  </w:num>
  <w:num w:numId="11" w16cid:durableId="84808389">
    <w:abstractNumId w:val="8"/>
  </w:num>
  <w:num w:numId="12" w16cid:durableId="938606693">
    <w:abstractNumId w:val="8"/>
  </w:num>
  <w:num w:numId="13" w16cid:durableId="789738233">
    <w:abstractNumId w:val="3"/>
  </w:num>
  <w:num w:numId="14" w16cid:durableId="1080830123">
    <w:abstractNumId w:val="3"/>
  </w:num>
  <w:num w:numId="15" w16cid:durableId="2109036117">
    <w:abstractNumId w:val="2"/>
  </w:num>
  <w:num w:numId="16" w16cid:durableId="1136072318">
    <w:abstractNumId w:val="2"/>
  </w:num>
  <w:num w:numId="17" w16cid:durableId="377976779">
    <w:abstractNumId w:val="1"/>
  </w:num>
  <w:num w:numId="18" w16cid:durableId="967010779">
    <w:abstractNumId w:val="1"/>
  </w:num>
  <w:num w:numId="19" w16cid:durableId="1079521635">
    <w:abstractNumId w:val="0"/>
  </w:num>
  <w:num w:numId="20" w16cid:durableId="931208991">
    <w:abstractNumId w:val="0"/>
  </w:num>
  <w:num w:numId="21" w16cid:durableId="640690882">
    <w:abstractNumId w:val="9"/>
  </w:num>
  <w:num w:numId="22" w16cid:durableId="978611329">
    <w:abstractNumId w:val="7"/>
  </w:num>
  <w:num w:numId="23" w16cid:durableId="1393041405">
    <w:abstractNumId w:val="6"/>
  </w:num>
  <w:num w:numId="24" w16cid:durableId="1013073903">
    <w:abstractNumId w:val="5"/>
  </w:num>
  <w:num w:numId="25" w16cid:durableId="1560942454">
    <w:abstractNumId w:val="4"/>
  </w:num>
  <w:num w:numId="26" w16cid:durableId="2016611619">
    <w:abstractNumId w:val="8"/>
  </w:num>
  <w:num w:numId="27" w16cid:durableId="980574954">
    <w:abstractNumId w:val="3"/>
  </w:num>
  <w:num w:numId="28" w16cid:durableId="1974022684">
    <w:abstractNumId w:val="2"/>
  </w:num>
  <w:num w:numId="29" w16cid:durableId="1544749241">
    <w:abstractNumId w:val="1"/>
  </w:num>
  <w:num w:numId="30" w16cid:durableId="1373578136">
    <w:abstractNumId w:val="0"/>
  </w:num>
  <w:num w:numId="31" w16cid:durableId="920795824">
    <w:abstractNumId w:val="9"/>
  </w:num>
  <w:num w:numId="32" w16cid:durableId="2006275887">
    <w:abstractNumId w:val="7"/>
  </w:num>
  <w:num w:numId="33" w16cid:durableId="1005327757">
    <w:abstractNumId w:val="6"/>
  </w:num>
  <w:num w:numId="34" w16cid:durableId="1395542662">
    <w:abstractNumId w:val="5"/>
  </w:num>
  <w:num w:numId="35" w16cid:durableId="1310093381">
    <w:abstractNumId w:val="4"/>
  </w:num>
  <w:num w:numId="36" w16cid:durableId="353383839">
    <w:abstractNumId w:val="8"/>
  </w:num>
  <w:num w:numId="37" w16cid:durableId="1650858925">
    <w:abstractNumId w:val="3"/>
  </w:num>
  <w:num w:numId="38" w16cid:durableId="261378549">
    <w:abstractNumId w:val="2"/>
  </w:num>
  <w:num w:numId="39" w16cid:durableId="1240483496">
    <w:abstractNumId w:val="1"/>
  </w:num>
  <w:num w:numId="40" w16cid:durableId="531892033">
    <w:abstractNumId w:val="0"/>
  </w:num>
  <w:num w:numId="41" w16cid:durableId="2012904830">
    <w:abstractNumId w:val="10"/>
  </w:num>
  <w:num w:numId="42" w16cid:durableId="760373853">
    <w:abstractNumId w:val="10"/>
  </w:num>
  <w:num w:numId="43" w16cid:durableId="1707176162">
    <w:abstractNumId w:val="10"/>
  </w:num>
  <w:num w:numId="44" w16cid:durableId="8628660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DA"/>
    <w:docVar w:name="dvnumam" w:val="0"/>
    <w:docVar w:name="dvpe" w:val="776.838"/>
    <w:docVar w:name="dvrapporteur" w:val="Ordfører: "/>
    <w:docVar w:name="dvtitre" w:val="Europa-Parlamentets beslutning af xx. oktober 2025 om Rådets holdning til forslag til Den Europæiske Unions ændringsbudget nr. 2/2025 for regnskabsåret 2025 – Ajourføring af indtægter (egne indtægter) og tilpasning af udgifter(12353/2025 – C10-0209/2025 – 2025/0206(BUD))"/>
  </w:docVars>
  <w:rsids>
    <w:rsidRoot w:val="00223696"/>
    <w:rsid w:val="00002272"/>
    <w:rsid w:val="00064002"/>
    <w:rsid w:val="000677B9"/>
    <w:rsid w:val="000831BA"/>
    <w:rsid w:val="000A18C1"/>
    <w:rsid w:val="000A42CC"/>
    <w:rsid w:val="000E7DD9"/>
    <w:rsid w:val="0010095E"/>
    <w:rsid w:val="00125B37"/>
    <w:rsid w:val="00187494"/>
    <w:rsid w:val="001F32AE"/>
    <w:rsid w:val="00223696"/>
    <w:rsid w:val="002767FF"/>
    <w:rsid w:val="002B18FE"/>
    <w:rsid w:val="002B5493"/>
    <w:rsid w:val="002C2E21"/>
    <w:rsid w:val="00343214"/>
    <w:rsid w:val="00361C00"/>
    <w:rsid w:val="00395FA1"/>
    <w:rsid w:val="003E15D4"/>
    <w:rsid w:val="00411CCE"/>
    <w:rsid w:val="0041666E"/>
    <w:rsid w:val="00421060"/>
    <w:rsid w:val="00471C19"/>
    <w:rsid w:val="00482B42"/>
    <w:rsid w:val="004867E3"/>
    <w:rsid w:val="00494A28"/>
    <w:rsid w:val="004C0004"/>
    <w:rsid w:val="004C5D52"/>
    <w:rsid w:val="004E1D40"/>
    <w:rsid w:val="0050519A"/>
    <w:rsid w:val="005072A1"/>
    <w:rsid w:val="00514517"/>
    <w:rsid w:val="00545827"/>
    <w:rsid w:val="00560270"/>
    <w:rsid w:val="00571F08"/>
    <w:rsid w:val="005C2568"/>
    <w:rsid w:val="005C709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DFD"/>
    <w:rsid w:val="00A1687D"/>
    <w:rsid w:val="00A43E52"/>
    <w:rsid w:val="00A4678D"/>
    <w:rsid w:val="00A778C7"/>
    <w:rsid w:val="00A90C7F"/>
    <w:rsid w:val="00AB441E"/>
    <w:rsid w:val="00AB6293"/>
    <w:rsid w:val="00AB69A4"/>
    <w:rsid w:val="00AE0928"/>
    <w:rsid w:val="00AF3B82"/>
    <w:rsid w:val="00B12E95"/>
    <w:rsid w:val="00B22876"/>
    <w:rsid w:val="00B558F0"/>
    <w:rsid w:val="00BD48FE"/>
    <w:rsid w:val="00BD7BD8"/>
    <w:rsid w:val="00BE6ADC"/>
    <w:rsid w:val="00C05BFE"/>
    <w:rsid w:val="00C23CD4"/>
    <w:rsid w:val="00C61C0C"/>
    <w:rsid w:val="00C941CB"/>
    <w:rsid w:val="00C95144"/>
    <w:rsid w:val="00CC2357"/>
    <w:rsid w:val="00CF071A"/>
    <w:rsid w:val="00D058B8"/>
    <w:rsid w:val="00D11680"/>
    <w:rsid w:val="00D56C11"/>
    <w:rsid w:val="00D834A0"/>
    <w:rsid w:val="00D872DF"/>
    <w:rsid w:val="00D91E21"/>
    <w:rsid w:val="00DA7FCD"/>
    <w:rsid w:val="00DC493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80E8F"/>
  <w15:chartTrackingRefBased/>
  <w15:docId w15:val="{63B3EF5F-032D-4D86-AFCB-F45837D4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A4DFD"/>
    <w:pPr>
      <w:spacing w:before="480" w:after="240"/>
    </w:pPr>
  </w:style>
  <w:style w:type="paragraph" w:customStyle="1" w:styleId="NormalHanging12a">
    <w:name w:val="NormalHanging12a"/>
    <w:basedOn w:val="Normal"/>
    <w:link w:val="NormalHanging12aChar"/>
    <w:rsid w:val="009A4DFD"/>
    <w:pPr>
      <w:spacing w:after="240"/>
      <w:ind w:left="567" w:hanging="567"/>
    </w:pPr>
  </w:style>
  <w:style w:type="character" w:styleId="Hyperlink">
    <w:name w:val="Hyperlink"/>
    <w:basedOn w:val="DefaultParagraphFont"/>
    <w:uiPriority w:val="99"/>
    <w:rsid w:val="009A4DFD"/>
    <w:rPr>
      <w:color w:val="0563C1" w:themeColor="hyperlink"/>
      <w:u w:val="single"/>
    </w:rPr>
  </w:style>
  <w:style w:type="character" w:customStyle="1" w:styleId="NormalHanging12aChar">
    <w:name w:val="NormalHanging12a Char"/>
    <w:basedOn w:val="DefaultParagraphFont"/>
    <w:link w:val="NormalHanging12a"/>
    <w:locked/>
    <w:rsid w:val="009A4DFD"/>
    <w:rPr>
      <w:sz w:val="24"/>
      <w:lang w:val="da-DK"/>
    </w:rPr>
  </w:style>
  <w:style w:type="paragraph" w:styleId="Revision">
    <w:name w:val="Revision"/>
    <w:hidden/>
    <w:uiPriority w:val="99"/>
    <w:semiHidden/>
    <w:rsid w:val="004E1D4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0/2053/oj" TargetMode="External"/><Relationship Id="rId2" Type="http://schemas.openxmlformats.org/officeDocument/2006/relationships/hyperlink" Target="http://data.europa.eu/eli/agree_interinstit/2020/1222/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1297</Words>
  <Characters>7762</Characters>
  <Application>Microsoft Office Word</Application>
  <DocSecurity>0</DocSecurity>
  <Lines>310</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2025-10-08T11:19:00Z</dcterms:created>
  <dcterms:modified xsi:type="dcterms:W3CDTF">2025-10-08T11:19:00Z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P10_TA-PROV(2025)0218_A10-0165_2025_</vt:lpwstr>
  </property>
  <property fmtid="{D5CDD505-2E9C-101B-9397-08002B2CF9AE}" pid="4" name="&lt;Type&gt;">
    <vt:lpwstr>RR</vt:lpwstr>
  </property>
</Properties>
</file>