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69C2" w14:paraId="63B45991" w14:textId="77777777" w:rsidTr="0010095E">
        <w:trPr>
          <w:trHeight w:hRule="exact" w:val="1418"/>
        </w:trPr>
        <w:tc>
          <w:tcPr>
            <w:tcW w:w="6804" w:type="dxa"/>
            <w:shd w:val="clear" w:color="auto" w:fill="auto"/>
            <w:vAlign w:val="center"/>
          </w:tcPr>
          <w:p w14:paraId="50B21EDF" w14:textId="77777777" w:rsidR="00751A4A" w:rsidRPr="000769C2" w:rsidRDefault="00A51639" w:rsidP="0010095E">
            <w:pPr>
              <w:pStyle w:val="EPName"/>
            </w:pPr>
            <w:r w:rsidRPr="000769C2">
              <w:t>Ευρωπαϊκό Κοινοβούλιο</w:t>
            </w:r>
          </w:p>
          <w:p w14:paraId="5C5729CD" w14:textId="77777777" w:rsidR="00751A4A" w:rsidRPr="000769C2" w:rsidRDefault="005F1B17" w:rsidP="005F1B17">
            <w:pPr>
              <w:pStyle w:val="EPTerm"/>
              <w:rPr>
                <w:rStyle w:val="HideTWBExt"/>
                <w:noProof w:val="0"/>
                <w:vanish w:val="0"/>
                <w:color w:val="auto"/>
              </w:rPr>
            </w:pPr>
            <w:r w:rsidRPr="000769C2">
              <w:t>2024</w:t>
            </w:r>
            <w:r w:rsidR="00817416" w:rsidRPr="000769C2">
              <w:t>-202</w:t>
            </w:r>
            <w:r w:rsidRPr="000769C2">
              <w:t>9</w:t>
            </w:r>
          </w:p>
        </w:tc>
        <w:tc>
          <w:tcPr>
            <w:tcW w:w="2268" w:type="dxa"/>
            <w:shd w:val="clear" w:color="auto" w:fill="auto"/>
          </w:tcPr>
          <w:p w14:paraId="16EB80AE" w14:textId="77777777" w:rsidR="00751A4A" w:rsidRPr="000769C2" w:rsidRDefault="00187494" w:rsidP="0010095E">
            <w:pPr>
              <w:pStyle w:val="EPLogo"/>
            </w:pPr>
            <w:r w:rsidRPr="000769C2">
              <w:rPr>
                <w:noProof/>
                <w:lang w:eastAsia="ja-JP"/>
              </w:rPr>
              <w:drawing>
                <wp:inline distT="0" distB="0" distL="0" distR="0" wp14:anchorId="3A0AA32C" wp14:editId="4522A0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DCFF06" w14:textId="77777777" w:rsidR="00D058B8" w:rsidRPr="000769C2" w:rsidRDefault="00D058B8" w:rsidP="004C5D52">
      <w:pPr>
        <w:pStyle w:val="LineTop"/>
      </w:pPr>
    </w:p>
    <w:p w14:paraId="71303981" w14:textId="77777777" w:rsidR="00680577" w:rsidRPr="000769C2" w:rsidRDefault="00A51639" w:rsidP="00680577">
      <w:pPr>
        <w:pStyle w:val="EPBodyTA1"/>
      </w:pPr>
      <w:r w:rsidRPr="000769C2">
        <w:t>ΚΕΙΜΕΝΑ ΠΟΥ ΕΓΚΡΙΘΗΚΑΝ</w:t>
      </w:r>
    </w:p>
    <w:p w14:paraId="621B1022" w14:textId="77777777" w:rsidR="00D058B8" w:rsidRPr="000769C2" w:rsidRDefault="00D058B8" w:rsidP="00D058B8">
      <w:pPr>
        <w:pStyle w:val="LineBottom"/>
      </w:pPr>
    </w:p>
    <w:p w14:paraId="4346D55F" w14:textId="4740748F" w:rsidR="00A51639" w:rsidRPr="00493393" w:rsidRDefault="00A51639" w:rsidP="00A51639">
      <w:pPr>
        <w:pStyle w:val="ATHeading1"/>
      </w:pPr>
      <w:bookmarkStart w:id="0" w:name="TANumber"/>
      <w:r w:rsidRPr="000769C2">
        <w:t>P10_TA(2025)0</w:t>
      </w:r>
      <w:r w:rsidR="00493393">
        <w:rPr>
          <w:lang w:val="en-GB"/>
        </w:rPr>
        <w:t>218</w:t>
      </w:r>
      <w:bookmarkEnd w:id="0"/>
    </w:p>
    <w:p w14:paraId="0F74825E" w14:textId="1F8250AE" w:rsidR="00A51639" w:rsidRPr="000769C2" w:rsidRDefault="00A51639" w:rsidP="00A51639">
      <w:pPr>
        <w:pStyle w:val="ATHeading2"/>
      </w:pPr>
      <w:bookmarkStart w:id="1" w:name="title"/>
      <w:r w:rsidRPr="000769C2">
        <w:t>Σχέδιο διορθωτικού προϋπολογισμού αριθ. 2</w:t>
      </w:r>
      <w:r w:rsidR="00864FF5">
        <w:t>/</w:t>
      </w:r>
      <w:r w:rsidRPr="000769C2">
        <w:t>2025</w:t>
      </w:r>
      <w:r w:rsidR="00864FF5">
        <w:t>:</w:t>
      </w:r>
      <w:r w:rsidRPr="000769C2">
        <w:t xml:space="preserve"> </w:t>
      </w:r>
      <w:proofErr w:type="spellStart"/>
      <w:r w:rsidR="00A43DD4">
        <w:t>Ε</w:t>
      </w:r>
      <w:r w:rsidRPr="000769C2">
        <w:t>πικαιροποίηση</w:t>
      </w:r>
      <w:proofErr w:type="spellEnd"/>
      <w:r w:rsidRPr="000769C2">
        <w:t xml:space="preserve"> των εσόδων (ίδιοι πόροι) και προσαρμογή </w:t>
      </w:r>
      <w:r w:rsidR="00A43DD4">
        <w:t xml:space="preserve">στις δαπάνες </w:t>
      </w:r>
      <w:bookmarkEnd w:id="1"/>
    </w:p>
    <w:p w14:paraId="03BA165C" w14:textId="77777777" w:rsidR="00A51639" w:rsidRPr="000769C2" w:rsidRDefault="00A51639" w:rsidP="00A51639">
      <w:pPr>
        <w:rPr>
          <w:i/>
          <w:vanish/>
        </w:rPr>
      </w:pPr>
      <w:r w:rsidRPr="000769C2">
        <w:rPr>
          <w:i/>
        </w:rPr>
        <w:fldChar w:fldCharType="begin"/>
      </w:r>
      <w:r w:rsidRPr="000769C2">
        <w:rPr>
          <w:i/>
        </w:rPr>
        <w:instrText xml:space="preserve"> TC"(</w:instrText>
      </w:r>
      <w:bookmarkStart w:id="2" w:name="DocNumber"/>
      <w:r w:rsidRPr="000769C2">
        <w:rPr>
          <w:i/>
        </w:rPr>
        <w:instrText>A10-0165/2025</w:instrText>
      </w:r>
      <w:bookmarkEnd w:id="2"/>
      <w:r w:rsidRPr="000769C2">
        <w:rPr>
          <w:i/>
        </w:rPr>
        <w:instrText xml:space="preserve"> - Εισηγητής: Victor Negrescu)"\l3 \n&gt; \* MERGEFORMAT </w:instrText>
      </w:r>
      <w:r w:rsidRPr="000769C2">
        <w:rPr>
          <w:i/>
        </w:rPr>
        <w:fldChar w:fldCharType="end"/>
      </w:r>
    </w:p>
    <w:p w14:paraId="14F88278" w14:textId="77777777" w:rsidR="00A51639" w:rsidRPr="000769C2" w:rsidRDefault="00A51639" w:rsidP="00A51639">
      <w:pPr>
        <w:rPr>
          <w:vanish/>
        </w:rPr>
      </w:pPr>
      <w:bookmarkStart w:id="3" w:name="Commission"/>
      <w:r w:rsidRPr="000769C2">
        <w:rPr>
          <w:vanish/>
        </w:rPr>
        <w:t>Επιτροπή Προϋπολογισμών</w:t>
      </w:r>
      <w:bookmarkEnd w:id="3"/>
    </w:p>
    <w:p w14:paraId="1CB1EE2B" w14:textId="77777777" w:rsidR="00A51639" w:rsidRPr="000769C2" w:rsidRDefault="00A51639" w:rsidP="00A51639">
      <w:pPr>
        <w:rPr>
          <w:vanish/>
        </w:rPr>
      </w:pPr>
      <w:bookmarkStart w:id="4" w:name="PE"/>
      <w:r w:rsidRPr="000769C2">
        <w:rPr>
          <w:vanish/>
        </w:rPr>
        <w:t>PE776.838</w:t>
      </w:r>
      <w:bookmarkEnd w:id="4"/>
    </w:p>
    <w:p w14:paraId="710AA06A" w14:textId="72AA1C4E" w:rsidR="00A51639" w:rsidRPr="000769C2" w:rsidRDefault="00A51639" w:rsidP="00A51639">
      <w:pPr>
        <w:pStyle w:val="ATHeading3"/>
      </w:pPr>
      <w:bookmarkStart w:id="5" w:name="Sujet"/>
      <w:r w:rsidRPr="000769C2">
        <w:t xml:space="preserve">Ψήφισμα του Ευρωπαϊκού Κοινοβουλίου </w:t>
      </w:r>
      <w:r w:rsidR="00864FF5">
        <w:t xml:space="preserve">της 8ης Οκτωβρίου 2025 </w:t>
      </w:r>
      <w:r w:rsidRPr="000769C2">
        <w:t>σχετικά με τη θέση του Συμβουλίου επί του σχεδίου διορθωτικού προϋπολογισμού αριθ. 2/2025 της Ευρωπαϊκής Ένωσης για το οικονομικό έτος 2025 - Επικαιροποίηση των εσόδων (ίδιοι πόροι) και προσαρμογές στις δαπάνες</w:t>
      </w:r>
      <w:bookmarkEnd w:id="5"/>
      <w:r w:rsidRPr="000769C2">
        <w:t xml:space="preserve"> </w:t>
      </w:r>
      <w:bookmarkStart w:id="6" w:name="References"/>
      <w:r w:rsidRPr="000769C2">
        <w:t>(12353/2025 – C10-0209/2025 – 2025/0206(BUD))</w:t>
      </w:r>
      <w:bookmarkEnd w:id="6"/>
    </w:p>
    <w:p w14:paraId="2EF88B7A" w14:textId="77777777" w:rsidR="00FD6EDD" w:rsidRPr="000769C2" w:rsidRDefault="00FD6EDD" w:rsidP="00FD6EDD">
      <w:pPr>
        <w:pStyle w:val="EPComma"/>
      </w:pPr>
      <w:bookmarkStart w:id="7" w:name="TextBodyBegin"/>
      <w:bookmarkEnd w:id="7"/>
      <w:r w:rsidRPr="000769C2">
        <w:rPr>
          <w:i/>
          <w:iCs/>
        </w:rPr>
        <w:t>Το Ευρωπαϊκό Κοινοβούλιο,</w:t>
      </w:r>
    </w:p>
    <w:p w14:paraId="100B9C38" w14:textId="77777777" w:rsidR="00FD6EDD" w:rsidRPr="000769C2" w:rsidRDefault="00FD6EDD" w:rsidP="00FD6EDD">
      <w:pPr>
        <w:pStyle w:val="NormalHanging12a"/>
      </w:pPr>
      <w:r w:rsidRPr="000769C2">
        <w:t>–</w:t>
      </w:r>
      <w:r w:rsidRPr="000769C2">
        <w:tab/>
        <w:t>έχοντας υπόψη το άρθρο 314 της Συνθήκης για τη λειτουργία της Ευρωπαϊκής Ένωσης,</w:t>
      </w:r>
    </w:p>
    <w:p w14:paraId="2874BC1B" w14:textId="77777777" w:rsidR="00FD6EDD" w:rsidRPr="000769C2" w:rsidRDefault="00FD6EDD" w:rsidP="00FD6EDD">
      <w:pPr>
        <w:pStyle w:val="NormalHanging12a"/>
      </w:pPr>
      <w:r w:rsidRPr="000769C2">
        <w:t>–</w:t>
      </w:r>
      <w:r w:rsidRPr="000769C2">
        <w:tab/>
        <w:t>έχοντας υπόψη το άρθρο 106α της Συνθήκης περί ιδρύσεως της Ευρωπαϊκής Κοινότητας Ατομικής Ενεργείας,</w:t>
      </w:r>
    </w:p>
    <w:p w14:paraId="21610E49" w14:textId="77777777" w:rsidR="00FD6EDD" w:rsidRPr="000769C2" w:rsidRDefault="00FD6EDD" w:rsidP="00FD6EDD">
      <w:pPr>
        <w:pStyle w:val="NormalHanging12a"/>
      </w:pPr>
      <w:r w:rsidRPr="000769C2">
        <w:t>–</w:t>
      </w:r>
      <w:r w:rsidRPr="000769C2">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0769C2">
        <w:rPr>
          <w:rStyle w:val="FootnoteReference"/>
        </w:rPr>
        <w:footnoteReference w:id="1"/>
      </w:r>
      <w:r w:rsidRPr="000769C2">
        <w:t>, και ιδίως το άρθρο 44,</w:t>
      </w:r>
    </w:p>
    <w:p w14:paraId="236DBC05" w14:textId="77777777" w:rsidR="00FD6EDD" w:rsidRPr="000769C2" w:rsidRDefault="00FD6EDD" w:rsidP="00FD6EDD">
      <w:pPr>
        <w:pStyle w:val="NormalHanging12a"/>
      </w:pPr>
      <w:r w:rsidRPr="000769C2">
        <w:t>–</w:t>
      </w:r>
      <w:r w:rsidRPr="000769C2">
        <w:tab/>
        <w:t>έχοντας υπόψη τον γενικό προϋπολογισμό της Ευρωπαϊκής Ένωσης για το οικονομικό έτος 2025, που εκδόθηκε οριστικά στις 27 Νοεμβρίου 2024</w:t>
      </w:r>
      <w:r w:rsidRPr="000769C2">
        <w:rPr>
          <w:rStyle w:val="FootnoteReference"/>
        </w:rPr>
        <w:footnoteReference w:id="2"/>
      </w:r>
      <w:r w:rsidRPr="000769C2">
        <w:t>,</w:t>
      </w:r>
    </w:p>
    <w:p w14:paraId="43D2D9D1" w14:textId="58525A46" w:rsidR="00FD6EDD" w:rsidRPr="000769C2" w:rsidRDefault="00FD6EDD" w:rsidP="00FD6EDD">
      <w:pPr>
        <w:pStyle w:val="NormalHanging12a"/>
      </w:pPr>
      <w:r w:rsidRPr="000769C2">
        <w:t>–</w:t>
      </w:r>
      <w:r w:rsidRPr="000769C2">
        <w:tab/>
        <w:t>έχοντας υπόψη τον κανονισμό (ΕΕ, Ευρατόμ) 2020/2093 του Συμβουλίου</w:t>
      </w:r>
      <w:r w:rsidR="00A43DD4">
        <w:t>,</w:t>
      </w:r>
      <w:r w:rsidRPr="000769C2">
        <w:t xml:space="preserve"> της 17ης Δεκεμβρίου 2020</w:t>
      </w:r>
      <w:r w:rsidR="00A43DD4">
        <w:t>,</w:t>
      </w:r>
      <w:r w:rsidRPr="000769C2">
        <w:t xml:space="preserve"> για τον καθορισμό του πολυετούς δημοσιονομικού πλαισίου για τα έτη 2021 έως 2027</w:t>
      </w:r>
      <w:r w:rsidRPr="000769C2">
        <w:rPr>
          <w:rStyle w:val="FootnoteReference"/>
        </w:rPr>
        <w:footnoteReference w:id="3"/>
      </w:r>
      <w:r w:rsidRPr="000769C2">
        <w:t>,</w:t>
      </w:r>
    </w:p>
    <w:p w14:paraId="0AFB0424" w14:textId="24937930" w:rsidR="00FD6EDD" w:rsidRPr="000769C2" w:rsidRDefault="00FD6EDD" w:rsidP="00FD6EDD">
      <w:pPr>
        <w:pStyle w:val="NormalHanging12a"/>
      </w:pPr>
      <w:r w:rsidRPr="000769C2">
        <w:t>–</w:t>
      </w:r>
      <w:r w:rsidRPr="000769C2">
        <w:tab/>
        <w:t xml:space="preserve">έχοντας υπόψη τη διοργανική συμφωνία της 16ης Δεκεμβρίου 2020 μεταξύ του Ευρωπαϊκού Κοινοβουλίου, του Συμβουλίου και της Επιτροπής για τη δημοσιονομική πειθαρχία, τη συνεργασία σε δημοσιονομικά θέματα και τη χρηστή δημοσιονομική διαχείριση, καθώς και για τους νέους ίδιους πόρους, συμπεριλαμβανομένου ενός χάρτη </w:t>
      </w:r>
      <w:r w:rsidRPr="000769C2">
        <w:lastRenderedPageBreak/>
        <w:t>πορείας για την εισαγωγή νέων ιδίων πόρων</w:t>
      </w:r>
      <w:r w:rsidRPr="000769C2">
        <w:rPr>
          <w:rStyle w:val="FootnoteReference"/>
        </w:rPr>
        <w:footnoteReference w:id="4"/>
      </w:r>
      <w:r w:rsidRPr="000769C2">
        <w:t>,</w:t>
      </w:r>
    </w:p>
    <w:p w14:paraId="5ADA8B0E" w14:textId="77777777" w:rsidR="00FD6EDD" w:rsidRPr="000769C2" w:rsidRDefault="00FD6EDD" w:rsidP="00FD6EDD">
      <w:pPr>
        <w:pStyle w:val="NormalHanging12a"/>
      </w:pPr>
      <w:r w:rsidRPr="000769C2">
        <w:t>–</w:t>
      </w:r>
      <w:r w:rsidRPr="000769C2">
        <w:tab/>
        <w:t>έχοντας υπόψη την απόφαση (ΕΕ, Ευρατόμ) 2020/2053/ΕΕ του Συμβουλίου, της 14ης Δεκεμβρίου 2020, για το σύστημα των ιδίων πόρων της Ευρωπαϊκής Ένωσης και για την κατάργηση της απόφασης 2014/335/ΕΕ, Ευρατόμ</w:t>
      </w:r>
      <w:r w:rsidRPr="000769C2">
        <w:rPr>
          <w:rStyle w:val="FootnoteReference"/>
        </w:rPr>
        <w:footnoteReference w:id="5"/>
      </w:r>
      <w:r w:rsidRPr="000769C2">
        <w:t>,</w:t>
      </w:r>
    </w:p>
    <w:p w14:paraId="0D1577D9" w14:textId="77777777" w:rsidR="00FD6EDD" w:rsidRPr="000769C2" w:rsidRDefault="00FD6EDD" w:rsidP="00FD6EDD">
      <w:pPr>
        <w:pStyle w:val="NormalHanging12a"/>
      </w:pPr>
      <w:r w:rsidRPr="000769C2">
        <w:t>–</w:t>
      </w:r>
      <w:r w:rsidRPr="000769C2">
        <w:tab/>
        <w:t>έχοντας υπόψη το σχέδιο διορθωτικού προϋπολογισμού αριθ. 2/2025 που εγκρίθηκε από την Επιτροπή στις 4 Ιουλίου 2025 (COM(2025)0410),</w:t>
      </w:r>
    </w:p>
    <w:p w14:paraId="0BA3788E" w14:textId="77777777" w:rsidR="00FD6EDD" w:rsidRPr="000769C2" w:rsidRDefault="00FD6EDD" w:rsidP="00FD6EDD">
      <w:pPr>
        <w:pStyle w:val="NormalHanging12a"/>
      </w:pPr>
      <w:r w:rsidRPr="000769C2">
        <w:t>–</w:t>
      </w:r>
      <w:r w:rsidRPr="000769C2">
        <w:tab/>
        <w:t>έχοντας υπόψη τη θέση επί του σχεδίου διορθωτικού προϋπολογισμού αριθ. 2/2025, η οποία εγκρίθηκε από το Συμβούλιο στις 16 Σεπτεμβρίου 2025 και διαβιβάστηκε στο Ευρωπαϊκό Κοινοβούλιο στις 17 Σεπτεμβρίου 2025 (12353/2025 – C10</w:t>
      </w:r>
      <w:r w:rsidRPr="000769C2">
        <w:noBreakHyphen/>
        <w:t>0209/2025),</w:t>
      </w:r>
    </w:p>
    <w:p w14:paraId="1954A652" w14:textId="77777777" w:rsidR="00FD6EDD" w:rsidRPr="000769C2" w:rsidRDefault="00FD6EDD" w:rsidP="00FD6EDD">
      <w:pPr>
        <w:pStyle w:val="NormalHanging12a"/>
      </w:pPr>
      <w:r w:rsidRPr="000769C2">
        <w:t>–</w:t>
      </w:r>
      <w:r w:rsidRPr="000769C2">
        <w:tab/>
        <w:t>έχοντας υπόψη τα άρθρα 96 και 98 του Κανονισμού του,</w:t>
      </w:r>
    </w:p>
    <w:p w14:paraId="5F7D5D3F" w14:textId="77777777" w:rsidR="00FD6EDD" w:rsidRPr="000769C2" w:rsidRDefault="00FD6EDD" w:rsidP="00FD6EDD">
      <w:pPr>
        <w:pStyle w:val="NormalHanging12a"/>
      </w:pPr>
      <w:r w:rsidRPr="000769C2">
        <w:t>–</w:t>
      </w:r>
      <w:r w:rsidRPr="000769C2">
        <w:tab/>
        <w:t>έχοντας υπόψη την έκθεση της Επιτροπής Προϋπολογισμών (A10-0165/2025),</w:t>
      </w:r>
    </w:p>
    <w:p w14:paraId="676F2256" w14:textId="77777777" w:rsidR="00FD6EDD" w:rsidRPr="000769C2" w:rsidRDefault="00FD6EDD" w:rsidP="00FD6EDD">
      <w:pPr>
        <w:pStyle w:val="NormalHanging12a"/>
      </w:pPr>
      <w:r w:rsidRPr="000769C2">
        <w:t>Α.</w:t>
      </w:r>
      <w:r w:rsidRPr="000769C2">
        <w:tab/>
        <w:t>λαμβάνοντας υπόψη ότι σκοπός του σχεδίου διορθωτικού προϋπολογισμού αριθ. 2/2025 είναι να επικαιροποιηθεί το σκέλος των εσόδων του προϋπολογισμού, ώστε να ληφθούν υπόψη οι τελευταίες εξελίξεις και, επιπλέον, να προσαρμοστεί το σκέλος των δαπανών του προϋπολογισμού σε σχέση με μια σειρά θέσεων δαπανών·</w:t>
      </w:r>
    </w:p>
    <w:p w14:paraId="2D851F06" w14:textId="23481C65" w:rsidR="00FD6EDD" w:rsidRPr="000769C2" w:rsidRDefault="00FD6EDD" w:rsidP="00FD6EDD">
      <w:pPr>
        <w:pStyle w:val="NormalHanging12a"/>
      </w:pPr>
      <w:r w:rsidRPr="000769C2">
        <w:t>Β.</w:t>
      </w:r>
      <w:r w:rsidRPr="000769C2">
        <w:tab/>
        <w:t>λαμβάνοντας υπόψη ότι το σχέδιο διορθωτικού προϋπολογισμού αριθ. 2/2025 συνεπάγεται αναθεώρηση των προβλέψεων ιδίων πόρων σε σχέση με τους τελωνειακούς δασμούς, οι οποίοι είναι κατά 1 % χαμηλότεροι από την πρόβλεψη του Μαΐου του 2024, σε σχέση με την προσαρμοσμένη βάση ΦΠΑ, η οποία είναι κατά 2,4 % χαμηλότερη από την πρόβλεψη του Μαΐου</w:t>
      </w:r>
      <w:r w:rsidR="00A43DD4">
        <w:t xml:space="preserve"> του</w:t>
      </w:r>
      <w:r w:rsidRPr="000769C2">
        <w:t xml:space="preserve"> 2024, σε σχέση με τα μη ανακυκλωμένα απορρίμματα πλαστικών συσκευασιών, η οποία είναι κατά 3,5 % υψηλότερη από την πρόβλεψη του Μαΐου του 2024, και σε σχέση με το σύνολο της βάσης ΑΕΕ της ΕΕ, η οποία είναι αυξημένη κατά 0,5 % σε σύγκριση με την πρόβλεψη του Μαΐου</w:t>
      </w:r>
      <w:r w:rsidR="00A43DD4">
        <w:t xml:space="preserve"> του</w:t>
      </w:r>
      <w:r w:rsidRPr="000769C2">
        <w:t xml:space="preserve"> 2024·</w:t>
      </w:r>
    </w:p>
    <w:p w14:paraId="67040497" w14:textId="77777777" w:rsidR="00FD6EDD" w:rsidRPr="000769C2" w:rsidRDefault="00FD6EDD" w:rsidP="00FD6EDD">
      <w:pPr>
        <w:pStyle w:val="NormalHanging12a"/>
      </w:pPr>
      <w:r w:rsidRPr="000769C2">
        <w:t>Γ.</w:t>
      </w:r>
      <w:r w:rsidRPr="000769C2">
        <w:tab/>
        <w:t>λαμβάνοντας υπόψη ότι το σχέδιο διορθωτικού προϋπολογισμού αριθ. 2/2025 επικαιροποιεί επίσης τη συνεισφορά του Ηνωμένου Βασιλείου για το 2025 σύμφωνα με τη συμφωνία αποχώρησης, η οποία ανέρχεται σε 1,53 δισεκατομμύρια EUR, ποσό που συνιστά μέτρια μείωση κατά 25 εκατομμύρια EUR σε σύγκριση με την εκτίμηση που περιλαμβάνεται στον προϋπολογισμό του 2025·</w:t>
      </w:r>
    </w:p>
    <w:p w14:paraId="203105C6" w14:textId="496E9333" w:rsidR="00FD6EDD" w:rsidRPr="000769C2" w:rsidRDefault="00FD6EDD" w:rsidP="00FD6EDD">
      <w:pPr>
        <w:pStyle w:val="NormalHanging12a"/>
      </w:pPr>
      <w:r w:rsidRPr="000769C2">
        <w:t>Δ.</w:t>
      </w:r>
      <w:r w:rsidRPr="000769C2">
        <w:tab/>
        <w:t xml:space="preserve">λαμβάνοντας υπόψη ότι το σχέδιο διορθωτικού προϋπολογισμού αριθ. 2/2025 λαμβάνει επίσης υπόψη τα πρόστιμα, τις ποινές για παραβάσεις και τις αρνητικές αποδόσεις που εισπράχθηκαν έως το τέλος Μαΐου </w:t>
      </w:r>
      <w:r w:rsidR="00A43DD4">
        <w:t xml:space="preserve">του </w:t>
      </w:r>
      <w:r w:rsidRPr="000769C2">
        <w:t>2025, γεγονός που αυξάνει την αρχική πρόβλεψη για πρόστιμα και ποινές στον προϋπολογισμό του 2025 κατά 291</w:t>
      </w:r>
      <w:r w:rsidR="00A43DD4">
        <w:t> </w:t>
      </w:r>
      <w:r w:rsidRPr="000769C2">
        <w:t>εκατομμύρια EUR·</w:t>
      </w:r>
    </w:p>
    <w:p w14:paraId="13B74C82" w14:textId="77777777" w:rsidR="00FD6EDD" w:rsidRPr="000769C2" w:rsidRDefault="00FD6EDD" w:rsidP="00FD6EDD">
      <w:pPr>
        <w:pStyle w:val="NormalHanging12a"/>
      </w:pPr>
      <w:r w:rsidRPr="000769C2">
        <w:t>Ε.</w:t>
      </w:r>
      <w:r w:rsidRPr="000769C2">
        <w:tab/>
        <w:t xml:space="preserve">λαμβάνοντας υπόψη ότι, όσον αφορά το σκέλος των δαπανών, το σχέδιο διορθωτικού προϋπολογισμού αριθ. 2/2025 προτείνει ορισμένες επικαιροποιήσεις των πιστώσεων αναλήψεων υποχρεώσεων και των πιστώσεων πληρωμών και, κυρίως, ενίσχυση ύψους 3,5 δισεκατομμυρίων EUR σε πληρωμές για το Ευρωπαϊκό Γεωργικό Ταμείο </w:t>
      </w:r>
      <w:r w:rsidRPr="000769C2">
        <w:lastRenderedPageBreak/>
        <w:t>Αγροτικής Ανάπτυξης,</w:t>
      </w:r>
    </w:p>
    <w:p w14:paraId="79FEC6F4" w14:textId="5E24D945" w:rsidR="00FD6EDD" w:rsidRPr="000769C2" w:rsidRDefault="00493393" w:rsidP="00493393">
      <w:pPr>
        <w:pStyle w:val="NormalHanging12a"/>
      </w:pPr>
      <w:r w:rsidRPr="000769C2">
        <w:t>1.</w:t>
      </w:r>
      <w:r w:rsidRPr="000769C2">
        <w:tab/>
      </w:r>
      <w:r w:rsidR="00FD6EDD" w:rsidRPr="000769C2">
        <w:t>λαμβάνει γνώση του σχεδίου διορθωτικού προϋπολογισμού αριθ. 2/2025, όπως υποβλήθηκε από την Επιτροπή·</w:t>
      </w:r>
    </w:p>
    <w:p w14:paraId="3E237387" w14:textId="0D1E4AB6" w:rsidR="00FD6EDD" w:rsidRPr="000769C2" w:rsidRDefault="00493393" w:rsidP="00493393">
      <w:pPr>
        <w:pStyle w:val="NormalHanging12a"/>
      </w:pPr>
      <w:r w:rsidRPr="000769C2">
        <w:t>2.</w:t>
      </w:r>
      <w:r w:rsidRPr="000769C2">
        <w:tab/>
      </w:r>
      <w:r w:rsidR="00FD6EDD" w:rsidRPr="000769C2">
        <w:t>σημειώνει ότι η μείωση του ποσού των ιδίων πόρων εκτός του ΑΕΕ και οι πρόσθετες ανάγκες πληρωμών στο σκέλος των δαπανών οδηγούν σε αυξημένη συνολική ανάγκη για συνεισφορές βάσει του ΑΕΕ ύψους 4</w:t>
      </w:r>
      <w:r w:rsidR="00A43DD4">
        <w:t>,</w:t>
      </w:r>
      <w:r w:rsidR="00FD6EDD" w:rsidRPr="000769C2">
        <w:t>3 δισεκατομμυρίων EUR· αναγνωρίζει ότι αυτό συνεπάγεται τροποποίηση του ενιαίου συντελεστή καταβολής ΑΕΕ από 0,527 % (στο ΣΔΠ 1/2025) σε 0,547 % (στο ΣΔΠ 2/2025)·</w:t>
      </w:r>
    </w:p>
    <w:p w14:paraId="7113E9AB" w14:textId="1D061347" w:rsidR="00FD6EDD" w:rsidRPr="000769C2" w:rsidRDefault="00493393" w:rsidP="00493393">
      <w:pPr>
        <w:pStyle w:val="NormalHanging12a"/>
      </w:pPr>
      <w:r w:rsidRPr="000769C2">
        <w:t>3.</w:t>
      </w:r>
      <w:r w:rsidRPr="000769C2">
        <w:tab/>
      </w:r>
      <w:r w:rsidR="00FD6EDD" w:rsidRPr="000769C2">
        <w:t>υπογραμμίζει ότι, με το σχέδιο διορθωτικού προϋπολογισμού αριθ. 2/2025, οι κατ’ αποκοπή μειώσεις του ΑΕΕ για τα πέντε δικαιούχα κράτη μέλη ανέρχονται σε ποσό ίσο με περίπου 9,2 δισεκατομμύρια EUR (ακαθάριστα)· τονίζει ότι οι εν λόγω μειώσεις των συνεισφορών συνδέονται με τον πληθωρισμό και, κατά συνέπεια, η αύξησή τους υπερέβαινε την αντίστοιχη αύξηση των ανώτατων ορίων του Π</w:t>
      </w:r>
      <w:r w:rsidR="00864FF5">
        <w:t xml:space="preserve">ολυετούς </w:t>
      </w:r>
      <w:r w:rsidR="00FD6EDD" w:rsidRPr="000769C2">
        <w:t>Δ</w:t>
      </w:r>
      <w:r w:rsidR="00864FF5">
        <w:t xml:space="preserve">ημοσιονομικού </w:t>
      </w:r>
      <w:r w:rsidR="00FD6EDD" w:rsidRPr="000769C2">
        <w:t>Π</w:t>
      </w:r>
      <w:r w:rsidR="00864FF5">
        <w:t>λαισίου (ΠΔΠ)</w:t>
      </w:r>
      <w:r w:rsidR="00FD6EDD" w:rsidRPr="000769C2">
        <w:t xml:space="preserve">, τα οποία προσαρμόζονται ετησίως με βάση τον </w:t>
      </w:r>
      <w:proofErr w:type="spellStart"/>
      <w:r w:rsidR="00FD6EDD" w:rsidRPr="000769C2">
        <w:t>αποπληθωριστή</w:t>
      </w:r>
      <w:proofErr w:type="spellEnd"/>
      <w:r w:rsidR="00FD6EDD" w:rsidRPr="000769C2">
        <w:t xml:space="preserve"> 2 %· επισημαίνει ότι ο προϋπολογισμός της Ένωσης έχει επιβαρυνθεί σημαντικά για να ανταποκριθεί σε διάφορες κρίσεις τα τελευταία χρόνια· υπογραμμίζει ότι αυτή η ανωμαλία όσον αφορά τις επιστροφές οδηγεί σε αύξηση της επιβάρυνσης για τα υπόλοιπα κράτη μέλη·</w:t>
      </w:r>
    </w:p>
    <w:p w14:paraId="23F826FB" w14:textId="47B59AF2" w:rsidR="00FD6EDD" w:rsidRPr="000769C2" w:rsidRDefault="00493393" w:rsidP="00493393">
      <w:pPr>
        <w:pStyle w:val="NormalHanging12a"/>
      </w:pPr>
      <w:r w:rsidRPr="000769C2">
        <w:t>4.</w:t>
      </w:r>
      <w:r w:rsidRPr="000769C2">
        <w:tab/>
      </w:r>
      <w:r w:rsidR="00FD6EDD" w:rsidRPr="000769C2">
        <w:t>εκφράζει την ικανοποίησή του για τις νέες προσπάθειες της Επιτροπής να παρουσιάσει περισσότερες επιλογές για νέες πηγές εσόδων για τον προϋπολογισμό της Ένωσης· στο πλαίσιο αυτό, λαμβάνει υπόψη την πρόταση της Επιτροπής για απόφαση του Συμβουλίου για το σύστημα των ιδίων πόρων της Ευρωπαϊκής Ένωσης, της 16ης</w:t>
      </w:r>
      <w:r w:rsidR="00A43DD4">
        <w:t> </w:t>
      </w:r>
      <w:r w:rsidR="00FD6EDD" w:rsidRPr="000769C2">
        <w:t xml:space="preserve">Ιουλίου 2025· θεωρεί ότι η ταχεία έγκριση των νέων ιδίων πόρων είναι απαραίτητη </w:t>
      </w:r>
      <w:r w:rsidR="00A43DD4">
        <w:t> </w:t>
      </w:r>
      <w:r w:rsidR="00FD6EDD" w:rsidRPr="000769C2">
        <w:t xml:space="preserve">για να αυξηθούν οι πόροι που διατίθενται για τον προϋπολογισμό· τονίζει ότι οι νέοι ίδιοι πόροι πρέπει να είναι δίκαιοι και είναι απαραίτητοι για την αποπληρωμή του δανεισμού του προγράμματος </w:t>
      </w:r>
      <w:proofErr w:type="spellStart"/>
      <w:r w:rsidR="00FD6EDD" w:rsidRPr="000769C2">
        <w:t>Next</w:t>
      </w:r>
      <w:proofErr w:type="spellEnd"/>
      <w:r w:rsidR="00FD6EDD" w:rsidRPr="000769C2">
        <w:t xml:space="preserve"> </w:t>
      </w:r>
      <w:proofErr w:type="spellStart"/>
      <w:r w:rsidR="00FD6EDD" w:rsidRPr="000769C2">
        <w:t>Generation</w:t>
      </w:r>
      <w:proofErr w:type="spellEnd"/>
      <w:r w:rsidR="00FD6EDD" w:rsidRPr="000769C2">
        <w:t xml:space="preserve"> EU, αλλά και για να διασφαλιστεί ότι η Ένωση δύναται να καλύψει τις υψηλότερες ανάγκες της σε δαπάνες· στο πλαίσιο αυτό, υπενθυμίζει την πάγια θέση του ότι τα έκτακτα έσοδα που προέρχονται από πρόστιμα και ποινές, ή ισοδύναμα ποσά, θα πρέπει να χρησιμοποιούνται ως συμπληρωματικά έσοδα για τον προϋπολογισμό της Ένωσης για σκοπούς αντιμετώπισης κρίσεων ή απρόβλεπτων αναγκών και δεν οδηγούν σε αντίστοιχη μείωση των συνεισφορών βάσει του ΑΕΕ· τονίζει ότι, στο τρέχον ΠΔΠ, τα ποσά αυτά «επιστρέφονται» στα κράτη μέλη·</w:t>
      </w:r>
    </w:p>
    <w:p w14:paraId="01FC275B" w14:textId="537EEF77" w:rsidR="00FD6EDD" w:rsidRPr="000769C2" w:rsidRDefault="00493393" w:rsidP="00493393">
      <w:pPr>
        <w:pStyle w:val="NormalHanging12a"/>
      </w:pPr>
      <w:r w:rsidRPr="000769C2">
        <w:t>5.</w:t>
      </w:r>
      <w:r w:rsidRPr="000769C2">
        <w:tab/>
      </w:r>
      <w:r w:rsidR="00FD6EDD" w:rsidRPr="000769C2">
        <w:t>υπογραμμίζει ότι τα διδάγματα από τις πρόσφατες κρίσεις —την πανδημία, τους ενεργειακούς κλυδωνισμούς και τον πόλεμο στην Ουκρανία— απαιτούν σοβαρό προβληματισμό σχετικά με την ευελιξία στο επόμενο ΠΔΠ· επαναλαμβάνει τη θέση του ότι ο μελλοντικός μηχανισμός ευελιξίας θα πρέπει να τροφοδοτείται από ορισμένες πρόσθετες πηγές χρηματοδότησης, συμπεριλαμβανομένων του ετήσιου πλεονάσματος από το προηγούμενο έτος, των προστίμων και των επανεισροών· λαμβάνει υπό σημείωση τις σχετικές διατάξεις του προτεινόμενου κανονισμού για το ΠΔΠ, όπου η Επιτροπή προτείνει να προστεθούν ορισμένα ποσά στον μηχανισμό ευελιξίας, σύμφωνα με τα μακροχρόνια αιτήματα του Κοινοβουλίου· υπενθυμίζει, ωστόσο, ότι η εν λόγω ευελιξία δεν θα πρέπει να αποβεί εις βάρος της διαφάνειας·</w:t>
      </w:r>
    </w:p>
    <w:p w14:paraId="417E7C11" w14:textId="76B9DDCD" w:rsidR="00FD6EDD" w:rsidRPr="000769C2" w:rsidRDefault="00493393" w:rsidP="00493393">
      <w:pPr>
        <w:pStyle w:val="NormalHanging12a"/>
      </w:pPr>
      <w:r w:rsidRPr="000769C2">
        <w:t>6.</w:t>
      </w:r>
      <w:r w:rsidRPr="000769C2">
        <w:tab/>
      </w:r>
      <w:r w:rsidR="00FD6EDD" w:rsidRPr="000769C2">
        <w:t xml:space="preserve">εκφράζει την ικανοποίησή του για τις προσαρμογές προς τα πάνω των πιστώσεων πληρωμών για το Ταμείο Αγροτικής Ανάπτυξης, οι οποίες δείχνουν ότι η εφαρμογή των </w:t>
      </w:r>
      <w:r w:rsidR="00FD6EDD" w:rsidRPr="000769C2">
        <w:lastRenderedPageBreak/>
        <w:t>στρατηγικών σχεδίων της ΚΓΠ για την περίοδο 2023-2027, καθώς και οι παρεμβάσεις στο πλαίσιο των προγραμμάτων της περιόδου 2014-2020, επιταχύνονται, με αποτέλεσμα να αντισταθμίζονται οι καθυστερήσεις των προηγούμενων οικονομικών ετών·</w:t>
      </w:r>
    </w:p>
    <w:p w14:paraId="2C6A5FE3" w14:textId="62AF3610" w:rsidR="00FD6EDD" w:rsidRPr="000769C2" w:rsidRDefault="00493393" w:rsidP="00493393">
      <w:pPr>
        <w:pStyle w:val="NormalHanging12a"/>
      </w:pPr>
      <w:r w:rsidRPr="000769C2">
        <w:t>7.</w:t>
      </w:r>
      <w:r w:rsidRPr="000769C2">
        <w:tab/>
      </w:r>
      <w:r w:rsidR="00FD6EDD" w:rsidRPr="000769C2">
        <w:t>επαινεί τις συνεχιζόμενες βελτιώσεις στον τομέα του μηχανισμού συνοριακής προσαρμογής άνθρακα (CBAM), αλλά διερωτάται γιατί η απλούστευση του κανονισμού CBAM θα πρέπει να συνεπάγεται αύξηση των αναγκών της τάξης των 8</w:t>
      </w:r>
      <w:r w:rsidR="00A43DD4">
        <w:t> </w:t>
      </w:r>
      <w:r w:rsidR="00FD6EDD" w:rsidRPr="000769C2">
        <w:t>εκατομμυρίων EUR και όχι μείωση λόγω βελτίωσης της αποδοτικότητας·</w:t>
      </w:r>
    </w:p>
    <w:p w14:paraId="07ED4B6E" w14:textId="0047EF2D" w:rsidR="00FD6EDD" w:rsidRPr="000769C2" w:rsidRDefault="00493393" w:rsidP="00493393">
      <w:pPr>
        <w:pStyle w:val="NormalHanging12a"/>
      </w:pPr>
      <w:r w:rsidRPr="000769C2">
        <w:t>8.</w:t>
      </w:r>
      <w:r w:rsidRPr="000769C2">
        <w:tab/>
      </w:r>
      <w:r w:rsidR="00FD6EDD" w:rsidRPr="000769C2">
        <w:t>θεωρεί επίσης αμφίβολη την αντιστάθμιση των πρόσθετων αναγκών για το κεντρικό τελωνειακό σύστημα στον τομέα 1 και τον ΜΣΠΑ στον τομέα 3 με ανάλογη μείωση των κονδυλίων στο πλαίσιο του μέσου για τον εξοπλισμό τελωνειακών ελέγχων στον τομέα 4· εκφράζει τη λύπη του για το γεγονός ότι η τρέχουσα δημοσιονομική κατάσταση οδήγησε την Επιτροπή να ανακατανείμει σημαντικά κονδύλια σε όλους τους τομείς και υπενθυμίζει την πάγια θέση του ότι οι νέες προτεραιότητες πολιτικής, τα καθήκοντα ή οι ανάγκες θα πρέπει να συνοδεύονται από νέα κονδύλια· τονίζει με έμφαση ότι οι επαναλαμβανόμενες ανακατανομές δεν αποτελούν βιώσιμο τρόπο χρηματοδότησης των προτεραιοτήτων της Ένωσης, καθώς βλάπτουν τις επενδύσεις και θέτουν σε κίνδυνο την επίτευξη των συμφωνημένων στόχων πολιτικής·</w:t>
      </w:r>
    </w:p>
    <w:p w14:paraId="357364C6" w14:textId="1B3FF934" w:rsidR="00FD6EDD" w:rsidRPr="000769C2" w:rsidRDefault="00493393" w:rsidP="00493393">
      <w:pPr>
        <w:pStyle w:val="NormalHanging12a"/>
      </w:pPr>
      <w:r w:rsidRPr="000769C2">
        <w:t>9.</w:t>
      </w:r>
      <w:r w:rsidRPr="000769C2">
        <w:tab/>
      </w:r>
      <w:r w:rsidR="00FD6EDD" w:rsidRPr="000769C2">
        <w:t>επισημαίνει και επικροτεί το γεγονός ότι ορισμένες τροποποιήσεις στον πίνακα προσωπικού της αρχής της ΕΕ για την καταπολέμηση της νομιμοποίησης εσόδων από παράνομες δραστηριότητες θα επιτρέψουν στον εν λόγω οργανισμό να εκτελεί τα καθήκοντά του εγκαίρως και αποτελεσματικά· υπενθυμίζει ότι αυτό το βασικό θεσμικό όργανο διαδραματίζει κεντρικό ρόλο στην προστασία των χρημάτων των φορολογουμένων και έχει υποστηριχθεί σθεναρά από το Ευρωπαϊκό Κοινοβούλιο·</w:t>
      </w:r>
    </w:p>
    <w:p w14:paraId="26EDC10B" w14:textId="7E8A5085" w:rsidR="00FD6EDD" w:rsidRPr="000769C2" w:rsidRDefault="00493393" w:rsidP="00493393">
      <w:pPr>
        <w:pStyle w:val="NormalHanging12a"/>
      </w:pPr>
      <w:r w:rsidRPr="000769C2">
        <w:t>10.</w:t>
      </w:r>
      <w:r w:rsidRPr="000769C2">
        <w:tab/>
      </w:r>
      <w:r w:rsidR="00FD6EDD" w:rsidRPr="000769C2">
        <w:t>χαιρετίζει την πρόοδο της Βουλγαρίας όσον αφορά την εισαγωγή του ευρώ και υποστηρίζει πλήρως την θέσπιση πρόσθετων μέσων για να συνοδευτεί η μετάβαση στο ευρώ με κατάλληλες και στοχευμένες δραστηριότητες επικοινωνίας· αναγνωρίζει ότι, λόγω της απουσίας αδιάθετου περιθωρίου στον τομέα 2β, πρέπει να κινητοποιηθεί ο Μηχανισμός Ευελιξίας για τον σκοπό αυτό·</w:t>
      </w:r>
    </w:p>
    <w:p w14:paraId="0A1396EB" w14:textId="4B906BF4" w:rsidR="00FD6EDD" w:rsidRPr="000769C2" w:rsidRDefault="00493393" w:rsidP="00493393">
      <w:pPr>
        <w:pStyle w:val="NormalHanging12a"/>
      </w:pPr>
      <w:r w:rsidRPr="000769C2">
        <w:t>11.</w:t>
      </w:r>
      <w:r w:rsidRPr="000769C2">
        <w:tab/>
      </w:r>
      <w:r w:rsidR="00FD6EDD" w:rsidRPr="000769C2">
        <w:t>εγκρίνει τη θέση του Συμβουλίου επί του σχεδίου διορθωτικού προϋπολογισμού αριθ. 2/2025·</w:t>
      </w:r>
    </w:p>
    <w:p w14:paraId="2C9179A2" w14:textId="37CCEC42" w:rsidR="00FD6EDD" w:rsidRPr="000769C2" w:rsidRDefault="00493393" w:rsidP="00493393">
      <w:pPr>
        <w:pStyle w:val="NormalHanging12a"/>
      </w:pPr>
      <w:r w:rsidRPr="000769C2">
        <w:t>12.</w:t>
      </w:r>
      <w:r w:rsidRPr="000769C2">
        <w:tab/>
      </w:r>
      <w:r w:rsidR="00FD6EDD" w:rsidRPr="000769C2">
        <w:t xml:space="preserve">αναθέτει στην Πρόεδρό του να διαπιστώσει την οριστική έκδοση του διορθωτικού προϋπολογισμού αριθ. 2/2025 και να μεριμνήσει για τη δημοσίευσή του στην </w:t>
      </w:r>
      <w:r w:rsidR="00FD6EDD" w:rsidRPr="000769C2">
        <w:rPr>
          <w:i/>
          <w:iCs/>
        </w:rPr>
        <w:t>Επίσημη Εφημερίδα της Ευρωπαϊκής Ένωσης</w:t>
      </w:r>
      <w:r w:rsidR="00FD6EDD" w:rsidRPr="000769C2">
        <w:t>·</w:t>
      </w:r>
    </w:p>
    <w:p w14:paraId="63F40188" w14:textId="444F7875" w:rsidR="000769C2" w:rsidRPr="000769C2" w:rsidRDefault="00493393" w:rsidP="00493393">
      <w:pPr>
        <w:pStyle w:val="NormalHanging12a"/>
      </w:pPr>
      <w:r w:rsidRPr="000769C2">
        <w:t>13.</w:t>
      </w:r>
      <w:r w:rsidRPr="000769C2">
        <w:tab/>
      </w:r>
      <w:r w:rsidR="00FD6EDD" w:rsidRPr="000769C2">
        <w:t>αναθέτει στην Πρόεδρό του να διαβιβάσει το παρόν ψήφισμα στο Συμβούλιο, στην Επιτροπή, στα λοιπά ενδιαφερόμενα θεσμικά όργανα και οργανισμούς, καθώς και στα εθνικά κοινοβούλια.</w:t>
      </w:r>
    </w:p>
    <w:p w14:paraId="4055E95B" w14:textId="2EAB9F8F" w:rsidR="00E365E1" w:rsidRPr="000769C2" w:rsidRDefault="00E365E1" w:rsidP="00A51639"/>
    <w:sectPr w:rsidR="00E365E1" w:rsidRPr="000769C2" w:rsidSect="000769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BE38E" w14:textId="77777777" w:rsidR="00A51639" w:rsidRPr="000769C2" w:rsidRDefault="00A51639">
      <w:r w:rsidRPr="000769C2">
        <w:separator/>
      </w:r>
    </w:p>
  </w:endnote>
  <w:endnote w:type="continuationSeparator" w:id="0">
    <w:p w14:paraId="3D024FA3" w14:textId="77777777" w:rsidR="00A51639" w:rsidRPr="000769C2" w:rsidRDefault="00A51639">
      <w:r w:rsidRPr="000769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8B01B" w14:textId="77777777" w:rsidR="00064002" w:rsidRPr="000769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CC018" w14:textId="77777777" w:rsidR="00064002" w:rsidRPr="000769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5D007" w14:textId="77777777" w:rsidR="00064002" w:rsidRPr="000769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D8DCB" w14:textId="77777777" w:rsidR="00A51639" w:rsidRPr="000769C2" w:rsidRDefault="00A51639">
      <w:r w:rsidRPr="000769C2">
        <w:separator/>
      </w:r>
    </w:p>
  </w:footnote>
  <w:footnote w:type="continuationSeparator" w:id="0">
    <w:p w14:paraId="690ECEA1" w14:textId="77777777" w:rsidR="00A51639" w:rsidRPr="000769C2" w:rsidRDefault="00A51639">
      <w:r w:rsidRPr="000769C2">
        <w:continuationSeparator/>
      </w:r>
    </w:p>
  </w:footnote>
  <w:footnote w:id="1">
    <w:p w14:paraId="3096A984" w14:textId="69D4822D" w:rsidR="00FD6EDD" w:rsidRPr="00493393" w:rsidRDefault="00FD6EDD" w:rsidP="000769C2">
      <w:pPr>
        <w:pStyle w:val="FootnoteText"/>
        <w:ind w:left="567" w:hanging="567"/>
        <w:rPr>
          <w:sz w:val="24"/>
          <w:lang w:val="fi-FI"/>
        </w:rPr>
      </w:pPr>
      <w:r w:rsidRPr="000769C2">
        <w:rPr>
          <w:rStyle w:val="FootnoteReference"/>
          <w:sz w:val="24"/>
          <w:lang w:val="el-GR"/>
        </w:rPr>
        <w:footnoteRef/>
      </w:r>
      <w:r w:rsidR="000769C2" w:rsidRPr="00493393">
        <w:rPr>
          <w:sz w:val="24"/>
          <w:lang w:val="fi-FI"/>
        </w:rPr>
        <w:t xml:space="preserve"> </w:t>
      </w:r>
      <w:r w:rsidR="000769C2" w:rsidRPr="00493393">
        <w:rPr>
          <w:sz w:val="24"/>
          <w:lang w:val="fi-FI"/>
        </w:rPr>
        <w:tab/>
      </w:r>
      <w:r w:rsidRPr="000769C2">
        <w:rPr>
          <w:sz w:val="24"/>
          <w:lang w:val="el-GR"/>
        </w:rPr>
        <w:t>ΕΕ</w:t>
      </w:r>
      <w:r w:rsidRPr="00493393">
        <w:rPr>
          <w:sz w:val="24"/>
          <w:lang w:val="fi-FI"/>
        </w:rPr>
        <w:t xml:space="preserve"> L, 2024/2509, 26.9.2024, ELI: </w:t>
      </w:r>
      <w:hyperlink r:id="rId1" w:history="1">
        <w:r w:rsidRPr="00493393">
          <w:rPr>
            <w:rStyle w:val="Hyperlink"/>
            <w:sz w:val="24"/>
            <w:lang w:val="fi-FI"/>
          </w:rPr>
          <w:t>http://data.europa.eu/eli/reg/2024/2509/oj</w:t>
        </w:r>
      </w:hyperlink>
      <w:r w:rsidRPr="00493393">
        <w:rPr>
          <w:sz w:val="24"/>
          <w:lang w:val="fi-FI"/>
        </w:rPr>
        <w:t>.</w:t>
      </w:r>
    </w:p>
  </w:footnote>
  <w:footnote w:id="2">
    <w:p w14:paraId="1EF1ECF2" w14:textId="5778E05D" w:rsidR="00FD6EDD" w:rsidRPr="00493393" w:rsidRDefault="00FD6EDD" w:rsidP="000769C2">
      <w:pPr>
        <w:pStyle w:val="FootnoteText"/>
        <w:ind w:left="567" w:hanging="567"/>
        <w:rPr>
          <w:rStyle w:val="Hyperlink"/>
          <w:sz w:val="24"/>
          <w:lang w:val="fi-FI"/>
        </w:rPr>
      </w:pPr>
      <w:r w:rsidRPr="000769C2">
        <w:rPr>
          <w:rStyle w:val="FootnoteReference"/>
          <w:sz w:val="24"/>
          <w:lang w:val="el-GR"/>
        </w:rPr>
        <w:footnoteRef/>
      </w:r>
      <w:r w:rsidR="000769C2" w:rsidRPr="00493393">
        <w:rPr>
          <w:sz w:val="24"/>
          <w:lang w:val="fi-FI"/>
        </w:rPr>
        <w:t xml:space="preserve"> </w:t>
      </w:r>
      <w:r w:rsidR="000769C2" w:rsidRPr="00493393">
        <w:rPr>
          <w:sz w:val="24"/>
          <w:lang w:val="fi-FI"/>
        </w:rPr>
        <w:tab/>
      </w:r>
      <w:r w:rsidRPr="00493393">
        <w:rPr>
          <w:sz w:val="24"/>
          <w:lang w:val="fi-FI"/>
        </w:rPr>
        <w:t xml:space="preserve">EE L, 2025/31, 27.2.2025, ELI: </w:t>
      </w:r>
      <w:hyperlink r:id="rId2" w:history="1">
        <w:r w:rsidRPr="00493393">
          <w:rPr>
            <w:rStyle w:val="Hyperlink"/>
            <w:sz w:val="24"/>
            <w:lang w:val="fi-FI"/>
          </w:rPr>
          <w:t>http://data.europa.eu/eli/budget/2025/31/oj</w:t>
        </w:r>
      </w:hyperlink>
      <w:r w:rsidRPr="00493393">
        <w:rPr>
          <w:rStyle w:val="Hyperlink"/>
          <w:sz w:val="24"/>
          <w:lang w:val="fi-FI"/>
        </w:rPr>
        <w:t>.</w:t>
      </w:r>
    </w:p>
  </w:footnote>
  <w:footnote w:id="3">
    <w:p w14:paraId="421BB809" w14:textId="77F53CB1" w:rsidR="00FD6EDD" w:rsidRPr="000769C2" w:rsidRDefault="00FD6EDD" w:rsidP="000769C2">
      <w:pPr>
        <w:pStyle w:val="FootnoteText"/>
        <w:ind w:left="567" w:hanging="567"/>
        <w:rPr>
          <w:rStyle w:val="Hyperlink"/>
          <w:sz w:val="24"/>
          <w:lang w:val="el-GR"/>
        </w:rPr>
      </w:pPr>
      <w:r w:rsidRPr="000769C2">
        <w:rPr>
          <w:rStyle w:val="FootnoteReference"/>
          <w:sz w:val="24"/>
          <w:lang w:val="el-GR"/>
        </w:rPr>
        <w:footnoteRef/>
      </w:r>
      <w:r w:rsidR="000769C2" w:rsidRPr="000769C2">
        <w:rPr>
          <w:sz w:val="24"/>
          <w:lang w:val="el-GR"/>
        </w:rPr>
        <w:t xml:space="preserve"> </w:t>
      </w:r>
      <w:r w:rsidR="000769C2" w:rsidRPr="000769C2">
        <w:rPr>
          <w:sz w:val="24"/>
          <w:lang w:val="el-GR"/>
        </w:rPr>
        <w:tab/>
      </w:r>
      <w:r w:rsidRPr="000769C2">
        <w:rPr>
          <w:sz w:val="24"/>
          <w:lang w:val="el-GR"/>
        </w:rPr>
        <w:t xml:space="preserve">ΕΕ L 433 I της 22.12.2020, σ. </w:t>
      </w:r>
      <w:r w:rsidRPr="000769C2">
        <w:rPr>
          <w:sz w:val="24"/>
          <w:lang w:val="el-GR"/>
        </w:rPr>
        <w:t xml:space="preserve">11, ELI: </w:t>
      </w:r>
      <w:hyperlink r:id="rId3" w:history="1">
        <w:r w:rsidRPr="000769C2">
          <w:rPr>
            <w:rStyle w:val="Hyperlink"/>
            <w:sz w:val="24"/>
            <w:lang w:val="el-GR"/>
          </w:rPr>
          <w:t>http://data.europa.eu/eli/reg/2020/433/oj</w:t>
        </w:r>
      </w:hyperlink>
      <w:r w:rsidRPr="000769C2">
        <w:rPr>
          <w:rStyle w:val="Hyperlink"/>
          <w:sz w:val="24"/>
          <w:lang w:val="el-GR"/>
        </w:rPr>
        <w:t>.</w:t>
      </w:r>
    </w:p>
  </w:footnote>
  <w:footnote w:id="4">
    <w:p w14:paraId="3C700CFB" w14:textId="567A3925" w:rsidR="00FD6EDD" w:rsidRPr="000769C2" w:rsidRDefault="00FD6EDD" w:rsidP="000769C2">
      <w:pPr>
        <w:pStyle w:val="FootnoteText"/>
        <w:ind w:left="567" w:hanging="567"/>
        <w:rPr>
          <w:sz w:val="24"/>
          <w:lang w:val="el-GR"/>
        </w:rPr>
      </w:pPr>
      <w:r w:rsidRPr="000769C2">
        <w:rPr>
          <w:rStyle w:val="FootnoteReference"/>
          <w:sz w:val="24"/>
          <w:lang w:val="el-GR"/>
        </w:rPr>
        <w:footnoteRef/>
      </w:r>
      <w:r w:rsidR="000769C2" w:rsidRPr="000769C2">
        <w:rPr>
          <w:sz w:val="24"/>
          <w:lang w:val="el-GR"/>
        </w:rPr>
        <w:t xml:space="preserve"> </w:t>
      </w:r>
      <w:r w:rsidR="000769C2" w:rsidRPr="000769C2">
        <w:rPr>
          <w:sz w:val="24"/>
          <w:lang w:val="el-GR"/>
        </w:rPr>
        <w:tab/>
      </w:r>
      <w:r w:rsidRPr="000769C2">
        <w:rPr>
          <w:sz w:val="24"/>
          <w:lang w:val="el-GR"/>
        </w:rPr>
        <w:t xml:space="preserve">ΕΕ L 433 I της 22.12.2020, σ. </w:t>
      </w:r>
      <w:r w:rsidRPr="000769C2">
        <w:rPr>
          <w:sz w:val="24"/>
          <w:lang w:val="el-GR"/>
        </w:rPr>
        <w:t xml:space="preserve">28, ELI: </w:t>
      </w:r>
      <w:hyperlink r:id="rId4" w:history="1">
        <w:r w:rsidRPr="000769C2">
          <w:rPr>
            <w:rStyle w:val="Hyperlink"/>
            <w:sz w:val="24"/>
            <w:lang w:val="el-GR"/>
          </w:rPr>
          <w:t>http://data.europa.eu/eli/agree_interinstit/2020/1222/oj</w:t>
        </w:r>
      </w:hyperlink>
      <w:r w:rsidRPr="000769C2">
        <w:rPr>
          <w:rStyle w:val="Hyperlink"/>
          <w:sz w:val="24"/>
          <w:lang w:val="el-GR"/>
        </w:rPr>
        <w:t>.</w:t>
      </w:r>
    </w:p>
  </w:footnote>
  <w:footnote w:id="5">
    <w:p w14:paraId="31AEDF9D" w14:textId="564E5CA0" w:rsidR="00FD6EDD" w:rsidRPr="000769C2" w:rsidRDefault="00FD6EDD" w:rsidP="000769C2">
      <w:pPr>
        <w:pStyle w:val="FootnoteText"/>
        <w:ind w:left="567" w:hanging="567"/>
        <w:rPr>
          <w:sz w:val="24"/>
          <w:lang w:val="el-GR"/>
        </w:rPr>
      </w:pPr>
      <w:r w:rsidRPr="000769C2">
        <w:rPr>
          <w:rStyle w:val="FootnoteReference"/>
          <w:sz w:val="24"/>
          <w:lang w:val="el-GR"/>
        </w:rPr>
        <w:footnoteRef/>
      </w:r>
      <w:r w:rsidR="000769C2" w:rsidRPr="000769C2">
        <w:rPr>
          <w:sz w:val="24"/>
          <w:lang w:val="el-GR"/>
        </w:rPr>
        <w:t xml:space="preserve"> </w:t>
      </w:r>
      <w:r w:rsidR="000769C2" w:rsidRPr="000769C2">
        <w:rPr>
          <w:sz w:val="24"/>
          <w:lang w:val="el-GR"/>
        </w:rPr>
        <w:tab/>
      </w:r>
      <w:r w:rsidRPr="000769C2">
        <w:rPr>
          <w:sz w:val="24"/>
          <w:lang w:val="el-GR"/>
        </w:rPr>
        <w:t xml:space="preserve">ΕΕ L 424 της 15.12.2020, σ. </w:t>
      </w:r>
      <w:r w:rsidRPr="000769C2">
        <w:rPr>
          <w:sz w:val="24"/>
          <w:lang w:val="el-GR"/>
        </w:rPr>
        <w:t xml:space="preserve">1, ELI: </w:t>
      </w:r>
      <w:hyperlink r:id="rId5" w:history="1">
        <w:r w:rsidRPr="000769C2">
          <w:rPr>
            <w:rStyle w:val="Hyperlink"/>
            <w:sz w:val="24"/>
            <w:lang w:val="el-GR"/>
          </w:rPr>
          <w:t>http://data.europa.eu/eli/dec/2020/2053/oj</w:t>
        </w:r>
      </w:hyperlink>
      <w:r w:rsidRPr="000769C2">
        <w:rPr>
          <w:rStyle w:val="Hyperlink"/>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831E6" w14:textId="77777777" w:rsidR="00064002" w:rsidRPr="000769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5EE7" w14:textId="77777777" w:rsidR="00064002" w:rsidRPr="000769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AD572" w14:textId="77777777" w:rsidR="00064002" w:rsidRPr="000769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1C92290"/>
    <w:multiLevelType w:val="hybridMultilevel"/>
    <w:tmpl w:val="63EE3F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070459F"/>
    <w:multiLevelType w:val="hybridMultilevel"/>
    <w:tmpl w:val="0B1A3198"/>
    <w:lvl w:ilvl="0" w:tplc="6F5C927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7719643">
    <w:abstractNumId w:val="9"/>
  </w:num>
  <w:num w:numId="2" w16cid:durableId="1457749489">
    <w:abstractNumId w:val="9"/>
  </w:num>
  <w:num w:numId="3" w16cid:durableId="1581133912">
    <w:abstractNumId w:val="7"/>
  </w:num>
  <w:num w:numId="4" w16cid:durableId="2036812083">
    <w:abstractNumId w:val="7"/>
  </w:num>
  <w:num w:numId="5" w16cid:durableId="1795824719">
    <w:abstractNumId w:val="6"/>
  </w:num>
  <w:num w:numId="6" w16cid:durableId="315568416">
    <w:abstractNumId w:val="6"/>
  </w:num>
  <w:num w:numId="7" w16cid:durableId="592249639">
    <w:abstractNumId w:val="5"/>
  </w:num>
  <w:num w:numId="8" w16cid:durableId="637147881">
    <w:abstractNumId w:val="5"/>
  </w:num>
  <w:num w:numId="9" w16cid:durableId="1145774328">
    <w:abstractNumId w:val="4"/>
  </w:num>
  <w:num w:numId="10" w16cid:durableId="664019593">
    <w:abstractNumId w:val="4"/>
  </w:num>
  <w:num w:numId="11" w16cid:durableId="368339513">
    <w:abstractNumId w:val="8"/>
  </w:num>
  <w:num w:numId="12" w16cid:durableId="845049582">
    <w:abstractNumId w:val="8"/>
  </w:num>
  <w:num w:numId="13" w16cid:durableId="645547064">
    <w:abstractNumId w:val="3"/>
  </w:num>
  <w:num w:numId="14" w16cid:durableId="62263295">
    <w:abstractNumId w:val="3"/>
  </w:num>
  <w:num w:numId="15" w16cid:durableId="754478767">
    <w:abstractNumId w:val="2"/>
  </w:num>
  <w:num w:numId="16" w16cid:durableId="1088967571">
    <w:abstractNumId w:val="2"/>
  </w:num>
  <w:num w:numId="17" w16cid:durableId="1888566767">
    <w:abstractNumId w:val="1"/>
  </w:num>
  <w:num w:numId="18" w16cid:durableId="1000037021">
    <w:abstractNumId w:val="1"/>
  </w:num>
  <w:num w:numId="19" w16cid:durableId="1126852035">
    <w:abstractNumId w:val="0"/>
  </w:num>
  <w:num w:numId="20" w16cid:durableId="161823362">
    <w:abstractNumId w:val="0"/>
  </w:num>
  <w:num w:numId="21" w16cid:durableId="1049458856">
    <w:abstractNumId w:val="9"/>
  </w:num>
  <w:num w:numId="22" w16cid:durableId="294944512">
    <w:abstractNumId w:val="7"/>
  </w:num>
  <w:num w:numId="23" w16cid:durableId="588732809">
    <w:abstractNumId w:val="6"/>
  </w:num>
  <w:num w:numId="24" w16cid:durableId="1953703999">
    <w:abstractNumId w:val="5"/>
  </w:num>
  <w:num w:numId="25" w16cid:durableId="1151678720">
    <w:abstractNumId w:val="4"/>
  </w:num>
  <w:num w:numId="26" w16cid:durableId="1219323253">
    <w:abstractNumId w:val="8"/>
  </w:num>
  <w:num w:numId="27" w16cid:durableId="659621612">
    <w:abstractNumId w:val="3"/>
  </w:num>
  <w:num w:numId="28" w16cid:durableId="956450747">
    <w:abstractNumId w:val="2"/>
  </w:num>
  <w:num w:numId="29" w16cid:durableId="137112474">
    <w:abstractNumId w:val="1"/>
  </w:num>
  <w:num w:numId="30" w16cid:durableId="1488592851">
    <w:abstractNumId w:val="0"/>
  </w:num>
  <w:num w:numId="31" w16cid:durableId="1025908298">
    <w:abstractNumId w:val="9"/>
  </w:num>
  <w:num w:numId="32" w16cid:durableId="147063363">
    <w:abstractNumId w:val="7"/>
  </w:num>
  <w:num w:numId="33" w16cid:durableId="691300877">
    <w:abstractNumId w:val="6"/>
  </w:num>
  <w:num w:numId="34" w16cid:durableId="2066250570">
    <w:abstractNumId w:val="5"/>
  </w:num>
  <w:num w:numId="35" w16cid:durableId="2107337358">
    <w:abstractNumId w:val="4"/>
  </w:num>
  <w:num w:numId="36" w16cid:durableId="1945452462">
    <w:abstractNumId w:val="8"/>
  </w:num>
  <w:num w:numId="37" w16cid:durableId="352918883">
    <w:abstractNumId w:val="3"/>
  </w:num>
  <w:num w:numId="38" w16cid:durableId="1889027541">
    <w:abstractNumId w:val="2"/>
  </w:num>
  <w:num w:numId="39" w16cid:durableId="1833829784">
    <w:abstractNumId w:val="1"/>
  </w:num>
  <w:num w:numId="40" w16cid:durableId="1108233803">
    <w:abstractNumId w:val="0"/>
  </w:num>
  <w:num w:numId="41" w16cid:durableId="2107730774">
    <w:abstractNumId w:val="10"/>
  </w:num>
  <w:num w:numId="42" w16cid:durableId="368534136">
    <w:abstractNumId w:val="10"/>
  </w:num>
  <w:num w:numId="43" w16cid:durableId="253317806">
    <w:abstractNumId w:val="10"/>
  </w:num>
  <w:num w:numId="44" w16cid:durableId="1635677550">
    <w:abstractNumId w:val="12"/>
  </w:num>
  <w:num w:numId="45" w16cid:durableId="2126844432">
    <w:abstractNumId w:val="11"/>
  </w:num>
  <w:num w:numId="46" w16cid:durableId="20361517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EL"/>
    <w:docVar w:name="dvnumam" w:val="0"/>
    <w:docVar w:name="dvpe" w:val="776.838"/>
    <w:docVar w:name="dvrapporteur" w:val="Εισηγητής: "/>
    <w:docVar w:name="dvtitre" w:val="Ψήφισμα του Ευρωπαϊκού Κοινοβουλίου σχετικά με τη θέση του Συμβουλίου επί του σχεδίου διορθωτικού προϋπολογισμού αριθ. 2/2025 της Ευρωπαϊκής Ένωσης για το οικονομικό έτος 2025 - Επικαιροποίηση των εσόδων (ίδιοι πόροι) και προσαρμογές στις δαπάνες(12353/2025 – C10-0209/2025 – 2025/0206(BUD))"/>
  </w:docVars>
  <w:rsids>
    <w:rsidRoot w:val="00A51639"/>
    <w:rsid w:val="00002272"/>
    <w:rsid w:val="00064002"/>
    <w:rsid w:val="000677B9"/>
    <w:rsid w:val="000769C2"/>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339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FF5"/>
    <w:rsid w:val="00865F67"/>
    <w:rsid w:val="00881A7B"/>
    <w:rsid w:val="008840E5"/>
    <w:rsid w:val="00887B3E"/>
    <w:rsid w:val="008C2AC6"/>
    <w:rsid w:val="00930C23"/>
    <w:rsid w:val="0093193B"/>
    <w:rsid w:val="009509D8"/>
    <w:rsid w:val="00950B64"/>
    <w:rsid w:val="00981893"/>
    <w:rsid w:val="00A1687D"/>
    <w:rsid w:val="00A43DD4"/>
    <w:rsid w:val="00A43E52"/>
    <w:rsid w:val="00A4678D"/>
    <w:rsid w:val="00A51639"/>
    <w:rsid w:val="00A778C7"/>
    <w:rsid w:val="00AB441E"/>
    <w:rsid w:val="00AB6293"/>
    <w:rsid w:val="00AE0928"/>
    <w:rsid w:val="00AF3B82"/>
    <w:rsid w:val="00B12E95"/>
    <w:rsid w:val="00B13709"/>
    <w:rsid w:val="00B22876"/>
    <w:rsid w:val="00B558F0"/>
    <w:rsid w:val="00BD48FE"/>
    <w:rsid w:val="00BD7BD8"/>
    <w:rsid w:val="00BE6ADC"/>
    <w:rsid w:val="00C05BFE"/>
    <w:rsid w:val="00C23CD4"/>
    <w:rsid w:val="00C5319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1D4"/>
    <w:rsid w:val="00F5134D"/>
    <w:rsid w:val="00F74202"/>
    <w:rsid w:val="00F87713"/>
    <w:rsid w:val="00FB4360"/>
    <w:rsid w:val="00FD0C70"/>
    <w:rsid w:val="00FD6ED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7F48C"/>
  <w15:chartTrackingRefBased/>
  <w15:docId w15:val="{A1DCFBE5-D92E-4D3E-AE39-B82EDA5D0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D6EDD"/>
    <w:pPr>
      <w:spacing w:before="480" w:after="240"/>
    </w:pPr>
  </w:style>
  <w:style w:type="paragraph" w:customStyle="1" w:styleId="NormalHanging12a">
    <w:name w:val="NormalHanging12a"/>
    <w:basedOn w:val="Normal"/>
    <w:link w:val="NormalHanging12aChar"/>
    <w:rsid w:val="00FD6EDD"/>
    <w:pPr>
      <w:spacing w:after="240"/>
      <w:ind w:left="567" w:hanging="567"/>
    </w:pPr>
  </w:style>
  <w:style w:type="character" w:styleId="Hyperlink">
    <w:name w:val="Hyperlink"/>
    <w:basedOn w:val="DefaultParagraphFont"/>
    <w:uiPriority w:val="99"/>
    <w:rsid w:val="00FD6EDD"/>
    <w:rPr>
      <w:color w:val="0563C1" w:themeColor="hyperlink"/>
      <w:u w:val="single"/>
    </w:rPr>
  </w:style>
  <w:style w:type="character" w:customStyle="1" w:styleId="NormalHanging12aChar">
    <w:name w:val="NormalHanging12a Char"/>
    <w:basedOn w:val="DefaultParagraphFont"/>
    <w:link w:val="NormalHanging12a"/>
    <w:locked/>
    <w:rsid w:val="00FD6EDD"/>
    <w:rPr>
      <w:sz w:val="24"/>
      <w:lang w:val="el-GR"/>
    </w:rPr>
  </w:style>
  <w:style w:type="paragraph" w:styleId="Revision">
    <w:name w:val="Revision"/>
    <w:hidden/>
    <w:uiPriority w:val="99"/>
    <w:semiHidden/>
    <w:rsid w:val="00864FF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1476</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2025-10-08T11:12:00Z</dcterms:created>
  <dcterms:modified xsi:type="dcterms:W3CDTF">2025-10-08T11:12:00Z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A10-0165/2025</vt:lpwstr>
  </property>
  <property fmtid="{D5CDD505-2E9C-101B-9397-08002B2CF9AE}" pid="4" name="&lt;Type&gt;">
    <vt:lpwstr>RR</vt:lpwstr>
  </property>
</Properties>
</file>