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1797" w14:paraId="367A4CB1" w14:textId="77777777" w:rsidTr="0010095E">
        <w:trPr>
          <w:trHeight w:hRule="exact" w:val="1418"/>
        </w:trPr>
        <w:tc>
          <w:tcPr>
            <w:tcW w:w="6804" w:type="dxa"/>
            <w:shd w:val="clear" w:color="auto" w:fill="auto"/>
            <w:vAlign w:val="center"/>
          </w:tcPr>
          <w:p w14:paraId="3A6505DC" w14:textId="77777777" w:rsidR="00751A4A" w:rsidRPr="00861797" w:rsidRDefault="008813B3" w:rsidP="0010095E">
            <w:pPr>
              <w:pStyle w:val="EPName"/>
            </w:pPr>
            <w:r w:rsidRPr="00861797">
              <w:t>Euroopa Parlament</w:t>
            </w:r>
          </w:p>
          <w:p w14:paraId="509E969F" w14:textId="77777777" w:rsidR="00751A4A" w:rsidRPr="00861797" w:rsidRDefault="005F1B17" w:rsidP="005F1B17">
            <w:pPr>
              <w:pStyle w:val="EPTerm"/>
              <w:rPr>
                <w:rStyle w:val="HideTWBExt"/>
                <w:noProof w:val="0"/>
                <w:vanish w:val="0"/>
                <w:color w:val="auto"/>
              </w:rPr>
            </w:pPr>
            <w:r w:rsidRPr="00861797">
              <w:t>2024</w:t>
            </w:r>
            <w:r w:rsidR="00817416" w:rsidRPr="00861797">
              <w:t>-202</w:t>
            </w:r>
            <w:r w:rsidRPr="00861797">
              <w:t>9</w:t>
            </w:r>
          </w:p>
        </w:tc>
        <w:tc>
          <w:tcPr>
            <w:tcW w:w="2268" w:type="dxa"/>
            <w:shd w:val="clear" w:color="auto" w:fill="auto"/>
          </w:tcPr>
          <w:p w14:paraId="6F053976" w14:textId="77777777" w:rsidR="00751A4A" w:rsidRPr="00861797" w:rsidRDefault="00187494" w:rsidP="0010095E">
            <w:pPr>
              <w:pStyle w:val="EPLogo"/>
            </w:pPr>
            <w:r w:rsidRPr="00861797">
              <w:rPr>
                <w:noProof/>
                <w:lang w:eastAsia="ja-JP"/>
              </w:rPr>
              <w:drawing>
                <wp:inline distT="0" distB="0" distL="0" distR="0" wp14:anchorId="373FB80E" wp14:editId="2284B6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DD00A4" w14:textId="77777777" w:rsidR="00D058B8" w:rsidRPr="00861797" w:rsidRDefault="00D058B8" w:rsidP="004C5D52">
      <w:pPr>
        <w:pStyle w:val="LineTop"/>
      </w:pPr>
    </w:p>
    <w:p w14:paraId="156E3AFE" w14:textId="77777777" w:rsidR="00680577" w:rsidRPr="00861797" w:rsidRDefault="008813B3" w:rsidP="00680577">
      <w:pPr>
        <w:pStyle w:val="EPBodyTA1"/>
      </w:pPr>
      <w:r w:rsidRPr="00861797">
        <w:t>VASTUVÕETUD TEKSTID</w:t>
      </w:r>
    </w:p>
    <w:p w14:paraId="40D9EA94" w14:textId="77777777" w:rsidR="00D058B8" w:rsidRPr="00861797" w:rsidRDefault="00D058B8" w:rsidP="00D058B8">
      <w:pPr>
        <w:pStyle w:val="LineBottom"/>
      </w:pPr>
    </w:p>
    <w:p w14:paraId="03091479" w14:textId="04F6E219" w:rsidR="008813B3" w:rsidRPr="00861797" w:rsidRDefault="008813B3" w:rsidP="008813B3">
      <w:pPr>
        <w:pStyle w:val="ATHeading1"/>
      </w:pPr>
      <w:bookmarkStart w:id="0" w:name="TANumber"/>
      <w:r w:rsidRPr="00861797">
        <w:t>P10_TA(2025)0</w:t>
      </w:r>
      <w:r w:rsidR="00542F3B" w:rsidRPr="00861797">
        <w:t>218</w:t>
      </w:r>
      <w:bookmarkEnd w:id="0"/>
    </w:p>
    <w:p w14:paraId="0E631E3B" w14:textId="1F7F2E2F" w:rsidR="008813B3" w:rsidRPr="00861797" w:rsidRDefault="008813B3" w:rsidP="008813B3">
      <w:pPr>
        <w:pStyle w:val="ATHeading2"/>
      </w:pPr>
      <w:bookmarkStart w:id="1" w:name="title"/>
      <w:r w:rsidRPr="00861797">
        <w:t>2025.</w:t>
      </w:r>
      <w:r w:rsidR="00190854" w:rsidRPr="00861797">
        <w:t> </w:t>
      </w:r>
      <w:r w:rsidRPr="00861797">
        <w:t>aasta paranduseelarve projekt nr</w:t>
      </w:r>
      <w:r w:rsidR="00190854" w:rsidRPr="00861797">
        <w:t> </w:t>
      </w:r>
      <w:r w:rsidRPr="00861797">
        <w:t>2</w:t>
      </w:r>
      <w:r w:rsidR="00AB7657">
        <w:t>/2025</w:t>
      </w:r>
      <w:r w:rsidRPr="00861797">
        <w:t xml:space="preserve"> – </w:t>
      </w:r>
      <w:r w:rsidR="00C44C37" w:rsidRPr="00861797">
        <w:t>t</w:t>
      </w:r>
      <w:r w:rsidRPr="00861797">
        <w:t>ulude ajakohastamine (omavahendid) ja kulude kohandamine</w:t>
      </w:r>
      <w:bookmarkEnd w:id="1"/>
    </w:p>
    <w:p w14:paraId="0B8B80BA" w14:textId="77777777" w:rsidR="008813B3" w:rsidRPr="00861797" w:rsidRDefault="008813B3" w:rsidP="008813B3">
      <w:pPr>
        <w:rPr>
          <w:i/>
          <w:vanish/>
        </w:rPr>
      </w:pPr>
      <w:r w:rsidRPr="00861797">
        <w:rPr>
          <w:i/>
        </w:rPr>
        <w:fldChar w:fldCharType="begin"/>
      </w:r>
      <w:r w:rsidRPr="00861797">
        <w:rPr>
          <w:i/>
        </w:rPr>
        <w:instrText xml:space="preserve"> TC"(</w:instrText>
      </w:r>
      <w:bookmarkStart w:id="2" w:name="DocNumber"/>
      <w:r w:rsidRPr="00861797">
        <w:rPr>
          <w:i/>
        </w:rPr>
        <w:instrText>A10-0165/2025</w:instrText>
      </w:r>
      <w:bookmarkEnd w:id="2"/>
      <w:r w:rsidRPr="00861797">
        <w:rPr>
          <w:i/>
        </w:rPr>
        <w:instrText xml:space="preserve"> - Raportöör: Victor Negrescu)"\l3 \n&gt; \* MERGEFORMAT </w:instrText>
      </w:r>
      <w:r w:rsidRPr="00861797">
        <w:rPr>
          <w:i/>
        </w:rPr>
        <w:fldChar w:fldCharType="end"/>
      </w:r>
    </w:p>
    <w:p w14:paraId="01D60809" w14:textId="77777777" w:rsidR="008813B3" w:rsidRPr="00861797" w:rsidRDefault="008813B3" w:rsidP="008813B3">
      <w:pPr>
        <w:rPr>
          <w:vanish/>
        </w:rPr>
      </w:pPr>
      <w:bookmarkStart w:id="3" w:name="Commission"/>
      <w:r w:rsidRPr="00861797">
        <w:rPr>
          <w:vanish/>
        </w:rPr>
        <w:t>Eelarvekomisjon</w:t>
      </w:r>
      <w:bookmarkEnd w:id="3"/>
    </w:p>
    <w:p w14:paraId="0AFEF80C" w14:textId="77777777" w:rsidR="008813B3" w:rsidRPr="00861797" w:rsidRDefault="008813B3" w:rsidP="008813B3">
      <w:pPr>
        <w:rPr>
          <w:vanish/>
        </w:rPr>
      </w:pPr>
      <w:bookmarkStart w:id="4" w:name="PE"/>
      <w:r w:rsidRPr="00861797">
        <w:rPr>
          <w:vanish/>
        </w:rPr>
        <w:t>PE776.838</w:t>
      </w:r>
      <w:bookmarkEnd w:id="4"/>
    </w:p>
    <w:p w14:paraId="727E8F5E" w14:textId="790C7765" w:rsidR="008813B3" w:rsidRPr="00861797" w:rsidRDefault="008813B3" w:rsidP="008813B3">
      <w:pPr>
        <w:pStyle w:val="ATHeading3"/>
      </w:pPr>
      <w:bookmarkStart w:id="5" w:name="Sujet"/>
      <w:r w:rsidRPr="00861797">
        <w:t xml:space="preserve">Euroopa Parlamendi </w:t>
      </w:r>
      <w:r w:rsidR="00190854" w:rsidRPr="00861797">
        <w:t>8</w:t>
      </w:r>
      <w:r w:rsidRPr="00861797">
        <w:t>.</w:t>
      </w:r>
      <w:r w:rsidR="00190854" w:rsidRPr="00861797">
        <w:t> oktoobri</w:t>
      </w:r>
      <w:r w:rsidRPr="00861797">
        <w:t xml:space="preserve"> 2025.</w:t>
      </w:r>
      <w:r w:rsidR="00190854" w:rsidRPr="00861797">
        <w:t> </w:t>
      </w:r>
      <w:r w:rsidRPr="00861797">
        <w:t>aasta resolutsioon</w:t>
      </w:r>
      <w:r w:rsidR="00190854" w:rsidRPr="00861797">
        <w:t>,</w:t>
      </w:r>
      <w:r w:rsidRPr="00861797">
        <w:t xml:space="preserve"> mis käsitleb nõukogu seisukohta Euroopa Liidu 2025.</w:t>
      </w:r>
      <w:r w:rsidR="00190854" w:rsidRPr="00861797">
        <w:t> </w:t>
      </w:r>
      <w:r w:rsidRPr="00861797">
        <w:t>aasta paranduseelarve projekti nr</w:t>
      </w:r>
      <w:r w:rsidR="00190854" w:rsidRPr="00861797">
        <w:t> </w:t>
      </w:r>
      <w:r w:rsidRPr="00861797">
        <w:t>2</w:t>
      </w:r>
      <w:r w:rsidR="00AB7657">
        <w:t>/2025</w:t>
      </w:r>
      <w:r w:rsidRPr="00861797">
        <w:t xml:space="preserve"> kohta – </w:t>
      </w:r>
      <w:r w:rsidR="001773A6" w:rsidRPr="00861797">
        <w:t>t</w:t>
      </w:r>
      <w:r w:rsidRPr="00861797">
        <w:t>ulude ajakohastamine (omavahendid) ja kulude kohandamine</w:t>
      </w:r>
      <w:bookmarkEnd w:id="5"/>
      <w:r w:rsidRPr="00861797">
        <w:t xml:space="preserve"> </w:t>
      </w:r>
      <w:bookmarkStart w:id="6" w:name="References"/>
      <w:r w:rsidRPr="00861797">
        <w:t>(12353/2025 – C10</w:t>
      </w:r>
      <w:r w:rsidR="00190854" w:rsidRPr="00861797">
        <w:noBreakHyphen/>
      </w:r>
      <w:r w:rsidRPr="00861797">
        <w:t>0209/2025 – 2025/0206(BUD))</w:t>
      </w:r>
      <w:bookmarkEnd w:id="6"/>
    </w:p>
    <w:p w14:paraId="547A77A1" w14:textId="77777777" w:rsidR="00BC7062" w:rsidRPr="00861797" w:rsidRDefault="00BC7062" w:rsidP="00BC7062">
      <w:pPr>
        <w:pStyle w:val="EPComma"/>
      </w:pPr>
      <w:bookmarkStart w:id="7" w:name="TextBodyBegin"/>
      <w:bookmarkEnd w:id="7"/>
      <w:r w:rsidRPr="00861797">
        <w:rPr>
          <w:i/>
        </w:rPr>
        <w:t>Euroopa Parlament</w:t>
      </w:r>
      <w:r w:rsidRPr="00861797">
        <w:t>,</w:t>
      </w:r>
    </w:p>
    <w:p w14:paraId="794C4655" w14:textId="7F655BA0" w:rsidR="00BC7062" w:rsidRPr="00861797" w:rsidRDefault="00BC7062" w:rsidP="00BC7062">
      <w:pPr>
        <w:pStyle w:val="NormalHanging12a"/>
      </w:pPr>
      <w:r w:rsidRPr="00861797">
        <w:t>–</w:t>
      </w:r>
      <w:r w:rsidRPr="00861797">
        <w:tab/>
        <w:t>võttes arvesse Euroopa Liidu toimimise lepingu artiklit</w:t>
      </w:r>
      <w:r w:rsidR="00190854" w:rsidRPr="00861797">
        <w:t> </w:t>
      </w:r>
      <w:r w:rsidRPr="00861797">
        <w:t>314,</w:t>
      </w:r>
    </w:p>
    <w:p w14:paraId="7E332BD4" w14:textId="31FAC933" w:rsidR="00BC7062" w:rsidRPr="00861797" w:rsidRDefault="00BC7062" w:rsidP="00BC7062">
      <w:pPr>
        <w:pStyle w:val="NormalHanging12a"/>
      </w:pPr>
      <w:r w:rsidRPr="00861797">
        <w:t>–</w:t>
      </w:r>
      <w:r w:rsidRPr="00861797">
        <w:tab/>
        <w:t>võttes arvesse Euroopa Aatomienergiaühenduse asutamislepingu artiklit</w:t>
      </w:r>
      <w:r w:rsidR="00190854" w:rsidRPr="00861797">
        <w:t> </w:t>
      </w:r>
      <w:r w:rsidRPr="00861797">
        <w:t>106a,</w:t>
      </w:r>
    </w:p>
    <w:p w14:paraId="0C255516" w14:textId="440F0B13" w:rsidR="00BC7062" w:rsidRPr="00861797" w:rsidRDefault="00BC7062" w:rsidP="00BC7062">
      <w:pPr>
        <w:pStyle w:val="NormalHanging12a"/>
      </w:pPr>
      <w:r w:rsidRPr="00861797">
        <w:t>–</w:t>
      </w:r>
      <w:r w:rsidRPr="00861797">
        <w:tab/>
        <w:t>võttes arvesse Euroopa Parlamendi ja nõukogu 23. septembri 2024. aasta määrust (EL, Euratom)</w:t>
      </w:r>
      <w:r w:rsidR="00190854" w:rsidRPr="00861797">
        <w:t> </w:t>
      </w:r>
      <w:r w:rsidRPr="00861797">
        <w:t>2024/2509</w:t>
      </w:r>
      <w:r w:rsidR="00081031" w:rsidRPr="00861797">
        <w:t>,</w:t>
      </w:r>
      <w:r w:rsidRPr="00861797">
        <w:t xml:space="preserve"> mis käsitleb liidu </w:t>
      </w:r>
      <w:proofErr w:type="spellStart"/>
      <w:r w:rsidRPr="00861797">
        <w:t>üldeelarve</w:t>
      </w:r>
      <w:proofErr w:type="spellEnd"/>
      <w:r w:rsidRPr="00861797">
        <w:t xml:space="preserve"> suhtes kohaldatavaid finantsreegleid</w:t>
      </w:r>
      <w:r w:rsidRPr="00861797">
        <w:rPr>
          <w:rStyle w:val="FootnoteReference"/>
        </w:rPr>
        <w:footnoteReference w:id="1"/>
      </w:r>
      <w:r w:rsidRPr="00861797">
        <w:t>, eriti selle artiklit 44,</w:t>
      </w:r>
    </w:p>
    <w:p w14:paraId="0F3DE438" w14:textId="2505BB4B" w:rsidR="00BC7062" w:rsidRPr="00861797" w:rsidRDefault="00BC7062" w:rsidP="00BC7062">
      <w:pPr>
        <w:pStyle w:val="NormalHanging12a"/>
      </w:pPr>
      <w:r w:rsidRPr="00861797">
        <w:t>–</w:t>
      </w:r>
      <w:r w:rsidRPr="00861797">
        <w:tab/>
        <w:t>võttes arvesse Euroopa Liidu 2025.</w:t>
      </w:r>
      <w:r w:rsidR="00190854" w:rsidRPr="00861797">
        <w:t> </w:t>
      </w:r>
      <w:r w:rsidRPr="00861797">
        <w:t xml:space="preserve">aasta </w:t>
      </w:r>
      <w:proofErr w:type="spellStart"/>
      <w:r w:rsidRPr="00861797">
        <w:t>üldeelarvet</w:t>
      </w:r>
      <w:proofErr w:type="spellEnd"/>
      <w:r w:rsidRPr="00861797">
        <w:t>, mis võeti lõplikult vastu 27. novembril 2024. aastal</w:t>
      </w:r>
      <w:r w:rsidRPr="00861797">
        <w:rPr>
          <w:rStyle w:val="FootnoteReference"/>
        </w:rPr>
        <w:footnoteReference w:id="2"/>
      </w:r>
      <w:r w:rsidRPr="00861797">
        <w:t>,</w:t>
      </w:r>
    </w:p>
    <w:p w14:paraId="5468E6CC" w14:textId="49225489" w:rsidR="00BC7062" w:rsidRPr="00861797" w:rsidRDefault="00BC7062" w:rsidP="00BC7062">
      <w:pPr>
        <w:pStyle w:val="NormalHanging12a"/>
      </w:pPr>
      <w:r w:rsidRPr="00861797">
        <w:t>–</w:t>
      </w:r>
      <w:r w:rsidRPr="00861797">
        <w:tab/>
        <w:t>võttes arvesse nõukogu 17. detsembri 2020. aasta määrust (EL, Euratom)</w:t>
      </w:r>
      <w:r w:rsidR="00190854" w:rsidRPr="00861797">
        <w:t> </w:t>
      </w:r>
      <w:r w:rsidRPr="00861797">
        <w:t>2020/2093, millega määratakse kindlaks mitmeaastane finantsraamistik aastateks</w:t>
      </w:r>
      <w:r w:rsidR="00190854" w:rsidRPr="00861797">
        <w:t> </w:t>
      </w:r>
      <w:r w:rsidRPr="00861797">
        <w:t>2021–2027</w:t>
      </w:r>
      <w:r w:rsidRPr="00861797">
        <w:rPr>
          <w:rStyle w:val="FootnoteReference"/>
        </w:rPr>
        <w:footnoteReference w:id="3"/>
      </w:r>
      <w:r w:rsidRPr="00861797">
        <w:t>,</w:t>
      </w:r>
    </w:p>
    <w:p w14:paraId="576B11A0" w14:textId="77777777" w:rsidR="00BC7062" w:rsidRPr="00861797" w:rsidRDefault="00BC7062" w:rsidP="00BC7062">
      <w:pPr>
        <w:pStyle w:val="NormalHanging12a"/>
      </w:pPr>
      <w:r w:rsidRPr="00861797">
        <w:t>–</w:t>
      </w:r>
      <w:r w:rsidRPr="00861797">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861797">
        <w:rPr>
          <w:rStyle w:val="FootnoteReference"/>
        </w:rPr>
        <w:footnoteReference w:id="4"/>
      </w:r>
      <w:r w:rsidRPr="00861797">
        <w:t>,</w:t>
      </w:r>
    </w:p>
    <w:p w14:paraId="41900815" w14:textId="0B4D7C1C" w:rsidR="00BC7062" w:rsidRPr="00861797" w:rsidRDefault="00BC7062" w:rsidP="00BC7062">
      <w:pPr>
        <w:pStyle w:val="NormalHanging12a"/>
      </w:pPr>
      <w:r w:rsidRPr="00861797">
        <w:t>–</w:t>
      </w:r>
      <w:r w:rsidRPr="00861797">
        <w:tab/>
        <w:t xml:space="preserve">võttes arvesse nõukogu 14. detsembri 2020. aasta otsust (EL, Euratom) 2020/2053, mis </w:t>
      </w:r>
      <w:r w:rsidRPr="00861797">
        <w:lastRenderedPageBreak/>
        <w:t>käsitleb Euroopa Liidu omavahendite süsteemi ning millega tunnistatakse kehtetuks otsus</w:t>
      </w:r>
      <w:r w:rsidR="00190854" w:rsidRPr="00861797">
        <w:t> </w:t>
      </w:r>
      <w:r w:rsidRPr="00861797">
        <w:t>2014/335/EL, Euratom</w:t>
      </w:r>
      <w:r w:rsidRPr="00861797">
        <w:rPr>
          <w:rStyle w:val="FootnoteReference"/>
        </w:rPr>
        <w:footnoteReference w:id="5"/>
      </w:r>
      <w:r w:rsidRPr="00861797">
        <w:t>,</w:t>
      </w:r>
    </w:p>
    <w:p w14:paraId="4D92E91E" w14:textId="11CB4A28" w:rsidR="00BC7062" w:rsidRPr="00861797" w:rsidRDefault="00BC7062" w:rsidP="00BC7062">
      <w:pPr>
        <w:pStyle w:val="NormalHanging12a"/>
      </w:pPr>
      <w:r w:rsidRPr="00861797">
        <w:t>–</w:t>
      </w:r>
      <w:r w:rsidRPr="00861797">
        <w:tab/>
        <w:t>võttes arvesse paranduseelarve projekti nr 2/2025, mille komisjon võttis vastu 4. juulil 2025.</w:t>
      </w:r>
      <w:r w:rsidR="00190854" w:rsidRPr="00861797">
        <w:t> </w:t>
      </w:r>
      <w:r w:rsidRPr="00861797">
        <w:t>aastal (COM(20</w:t>
      </w:r>
      <w:r w:rsidR="0042097A" w:rsidRPr="00861797">
        <w:t>2</w:t>
      </w:r>
      <w:r w:rsidRPr="00861797">
        <w:t>5)0410),</w:t>
      </w:r>
    </w:p>
    <w:p w14:paraId="1805F56C" w14:textId="1366356A" w:rsidR="00BC7062" w:rsidRPr="00861797" w:rsidRDefault="00BC7062" w:rsidP="00BC7062">
      <w:pPr>
        <w:pStyle w:val="NormalHanging12a"/>
      </w:pPr>
      <w:r w:rsidRPr="00861797">
        <w:t>–</w:t>
      </w:r>
      <w:r w:rsidRPr="00861797">
        <w:tab/>
        <w:t>võttes arvesse 16. septembril 2025.</w:t>
      </w:r>
      <w:r w:rsidR="00190854" w:rsidRPr="00861797">
        <w:t> </w:t>
      </w:r>
      <w:r w:rsidRPr="00861797">
        <w:t>aastal</w:t>
      </w:r>
      <w:r w:rsidR="00190854" w:rsidRPr="00861797">
        <w:t xml:space="preserve"> </w:t>
      </w:r>
      <w:r w:rsidRPr="00861797">
        <w:t>vastu võetud ja 17. septembril 2025.</w:t>
      </w:r>
      <w:r w:rsidR="00190854" w:rsidRPr="00861797">
        <w:t> </w:t>
      </w:r>
      <w:r w:rsidRPr="00861797">
        <w:t>aastal Euroopa Parlamendile edastatud nõukogu seisukohta paranduseelarve projekti nr</w:t>
      </w:r>
      <w:r w:rsidR="00190854" w:rsidRPr="00861797">
        <w:t> </w:t>
      </w:r>
      <w:r w:rsidRPr="00861797">
        <w:t>2/2025 kohta (12353/2025 – C10</w:t>
      </w:r>
      <w:r w:rsidRPr="00861797">
        <w:noBreakHyphen/>
        <w:t>0209/2025),</w:t>
      </w:r>
    </w:p>
    <w:p w14:paraId="37A4FBB0" w14:textId="77777777" w:rsidR="00BC7062" w:rsidRPr="00861797" w:rsidRDefault="00BC7062" w:rsidP="00BC7062">
      <w:pPr>
        <w:pStyle w:val="NormalHanging12a"/>
      </w:pPr>
      <w:r w:rsidRPr="00861797">
        <w:t>–</w:t>
      </w:r>
      <w:r w:rsidRPr="00861797">
        <w:tab/>
        <w:t>võttes arvesse kodukorra artikleid 96 ja 98,</w:t>
      </w:r>
    </w:p>
    <w:p w14:paraId="4F586567" w14:textId="6DE55549" w:rsidR="00BC7062" w:rsidRPr="00861797" w:rsidRDefault="00BC7062" w:rsidP="00BC7062">
      <w:pPr>
        <w:pStyle w:val="NormalHanging12a"/>
      </w:pPr>
      <w:r w:rsidRPr="00861797">
        <w:t>–</w:t>
      </w:r>
      <w:r w:rsidRPr="00861797">
        <w:tab/>
        <w:t>võttes arvesse eelarvekomisjoni raportit (A10</w:t>
      </w:r>
      <w:r w:rsidR="00190854" w:rsidRPr="00861797">
        <w:noBreakHyphen/>
      </w:r>
      <w:r w:rsidRPr="00861797">
        <w:t>0165/2025),</w:t>
      </w:r>
    </w:p>
    <w:p w14:paraId="0D3711CA" w14:textId="77777777" w:rsidR="00BC7062" w:rsidRPr="00861797" w:rsidRDefault="00BC7062" w:rsidP="00BC7062">
      <w:pPr>
        <w:pStyle w:val="NormalHanging12a"/>
      </w:pPr>
      <w:r w:rsidRPr="00861797">
        <w:t>A.</w:t>
      </w:r>
      <w:r w:rsidRPr="00861797">
        <w:tab/>
        <w:t>arvestades, et paranduseelarve projekti nr 2/2025 eesmärk on ajakohastada eelarve tulupoolt, et võtta arvesse hiljutisi suundumusi, ning kohandada mitme kuluartikli osas eelarve kulupoolt;</w:t>
      </w:r>
    </w:p>
    <w:p w14:paraId="14B21F0B" w14:textId="77777777" w:rsidR="00BC7062" w:rsidRPr="00861797" w:rsidRDefault="00BC7062" w:rsidP="00BC7062">
      <w:pPr>
        <w:pStyle w:val="NormalHanging12a"/>
      </w:pPr>
      <w:r w:rsidRPr="00861797">
        <w:t>B.</w:t>
      </w:r>
      <w:r w:rsidRPr="00861797">
        <w:tab/>
        <w:t>arvestades, et paranduseelarve projektis nr 2/2025 on arvesse võetud, et omavahendite prognoose muudeti seoses tollimaksuga, millest laekuv tulu on 2024. aasta mai prognoosist 1 % väiksem, seoses piiristatud käibemaksubaasiga, mis on 2024. aasta mai prognoosist 2,4 % väiksem, seoses ringlusse võtmata plastpakendijäätmetel põhinevate omavahenditega, mille summa on 2024. aasta mai prognoosist 3,5 % väiksem, ning seoses ELi kogurahvatulul põhinevate omavahendite baasiga, mis on 2024. aasta mai prognoosist 0,5 % suurem;</w:t>
      </w:r>
    </w:p>
    <w:p w14:paraId="105DA65E" w14:textId="029C4B5B" w:rsidR="00BC7062" w:rsidRPr="00861797" w:rsidRDefault="00BC7062" w:rsidP="00BC7062">
      <w:pPr>
        <w:pStyle w:val="NormalHanging12a"/>
      </w:pPr>
      <w:r w:rsidRPr="00861797">
        <w:t>C.</w:t>
      </w:r>
      <w:r w:rsidRPr="00861797">
        <w:tab/>
        <w:t>arvestades, et paranduseelarve projektiga nr 2/2025 ajakohastatakse ka väljaastumislepingu kohast Ühendkuningriigi 2025. aasta osamaksu, mille suurus on 1,53 miljardit eurot – see on 2025.</w:t>
      </w:r>
      <w:r w:rsidR="00190854" w:rsidRPr="00861797">
        <w:t> </w:t>
      </w:r>
      <w:r w:rsidRPr="00861797">
        <w:t>aasta eelarvesse kantud prognoosist mõnevõrra (25 miljoni euro võrra) väiksem summa;</w:t>
      </w:r>
    </w:p>
    <w:p w14:paraId="73C40E8E" w14:textId="77777777" w:rsidR="00BC7062" w:rsidRPr="00861797" w:rsidRDefault="00BC7062" w:rsidP="00BC7062">
      <w:pPr>
        <w:pStyle w:val="NormalHanging12a"/>
      </w:pPr>
      <w:r w:rsidRPr="00861797">
        <w:t>D.</w:t>
      </w:r>
      <w:r w:rsidRPr="00861797">
        <w:tab/>
        <w:t>arvestades, et paranduseelarve projektis nr 2/2025 on arvesse võetud ka 2025. aasta mai lõpuni laekunud trahve, karistusmakseid ja negatiivset tulu, mille tulemusel suurendatakse summat, mis 2025. aasta eelarvesse trahvide ja karistuste esialgse prognoosina kanti, 291 miljoni euro võrra;</w:t>
      </w:r>
    </w:p>
    <w:p w14:paraId="436F5672" w14:textId="75A914F9" w:rsidR="00BC7062" w:rsidRPr="00861797" w:rsidRDefault="00BC7062" w:rsidP="00BC7062">
      <w:pPr>
        <w:pStyle w:val="NormalHanging12a"/>
      </w:pPr>
      <w:r w:rsidRPr="00861797">
        <w:t>E.</w:t>
      </w:r>
      <w:r w:rsidRPr="00861797">
        <w:tab/>
        <w:t>arvestades, et paranduseelarve projektis nr</w:t>
      </w:r>
      <w:r w:rsidR="00190854" w:rsidRPr="00861797">
        <w:t> </w:t>
      </w:r>
      <w:r w:rsidRPr="00861797">
        <w:t>2/2025 tehakse ettepanek ajakohastada kulupoolel mitmeid kulukohustuste ja maksete assigneeringuid, eelkõige suurendada Euroopa Maaelu Arengu Põllumajandusfondi makseid 3,5</w:t>
      </w:r>
      <w:r w:rsidR="00190854" w:rsidRPr="00861797">
        <w:t> </w:t>
      </w:r>
      <w:r w:rsidRPr="00861797">
        <w:t>miljardi euro võrra;</w:t>
      </w:r>
    </w:p>
    <w:p w14:paraId="21542CCE" w14:textId="77777777" w:rsidR="00BC7062" w:rsidRPr="00861797" w:rsidRDefault="00BC7062" w:rsidP="00BC7062">
      <w:pPr>
        <w:pStyle w:val="NormalHanging12a"/>
      </w:pPr>
      <w:r w:rsidRPr="00861797">
        <w:t>1.</w:t>
      </w:r>
      <w:r w:rsidRPr="00861797">
        <w:tab/>
        <w:t>võtab komisjoni esitatud paranduseelarve projekti nr 2/2025 teadmiseks;</w:t>
      </w:r>
    </w:p>
    <w:p w14:paraId="3547A910" w14:textId="5EEF65E1" w:rsidR="00BC7062" w:rsidRPr="00861797" w:rsidRDefault="00BC7062" w:rsidP="00BC7062">
      <w:pPr>
        <w:pStyle w:val="NormalHanging12a"/>
      </w:pPr>
      <w:r w:rsidRPr="00861797">
        <w:t>2.</w:t>
      </w:r>
      <w:r w:rsidRPr="00861797">
        <w:tab/>
        <w:t>võtab teadmiseks, et kuna omavahendite (v.a kogurahvatulu) summa vähenes ja kulupoolel tuleb makseid suurendada, tuleb kogurahvatulul põhinevaid osamakseid suurendada kokku 4,3</w:t>
      </w:r>
      <w:r w:rsidR="00190854" w:rsidRPr="00861797">
        <w:t> </w:t>
      </w:r>
      <w:r w:rsidRPr="00861797">
        <w:t>miljardi euro võrra; märgib, et seetõttu tuleb kogurahvatulu ühtset sissenõudmismäära, mis paranduseelarve projektis nr</w:t>
      </w:r>
      <w:r w:rsidR="00190854" w:rsidRPr="00861797">
        <w:t> </w:t>
      </w:r>
      <w:r w:rsidRPr="00861797">
        <w:t>1/2025 oli 0,527 %, tõsta</w:t>
      </w:r>
      <w:r w:rsidR="00190854" w:rsidRPr="00861797">
        <w:t xml:space="preserve"> </w:t>
      </w:r>
      <w:r w:rsidRPr="00861797">
        <w:t>paranduseelarve projektis nr</w:t>
      </w:r>
      <w:r w:rsidR="00190854" w:rsidRPr="00861797">
        <w:t> </w:t>
      </w:r>
      <w:r w:rsidRPr="00861797">
        <w:t>2/2025 0,547 %</w:t>
      </w:r>
      <w:r w:rsidR="00190854" w:rsidRPr="00861797">
        <w:noBreakHyphen/>
      </w:r>
      <w:proofErr w:type="spellStart"/>
      <w:r w:rsidRPr="00861797">
        <w:t>le</w:t>
      </w:r>
      <w:proofErr w:type="spellEnd"/>
      <w:r w:rsidRPr="00861797">
        <w:t>;</w:t>
      </w:r>
    </w:p>
    <w:p w14:paraId="192D9691" w14:textId="686C04D3" w:rsidR="00BC7062" w:rsidRPr="00861797" w:rsidRDefault="00BC7062" w:rsidP="00BC7062">
      <w:pPr>
        <w:pStyle w:val="NormalHanging12a"/>
      </w:pPr>
      <w:r w:rsidRPr="00861797">
        <w:t>3.</w:t>
      </w:r>
      <w:r w:rsidRPr="00861797">
        <w:tab/>
        <w:t xml:space="preserve">rõhutab, et paranduseelarve projekti nr 2/2025 kohaselt on viie toetatava liikmesriigi kogurahvatulul põhinevate maksete kindlasummaliste vähenduste brutosumma </w:t>
      </w:r>
      <w:r w:rsidRPr="00861797">
        <w:lastRenderedPageBreak/>
        <w:t xml:space="preserve">ligikaudu 9,2 miljardit eurot; toonitab, et need tagasimaksed on inflatsiooniga seotud ja on seetõttu suurenenud rohkem kui mitmeaastase finantsraamistiku ülemmäärad, mida kohandatakse igal aastal 2 % suuruse </w:t>
      </w:r>
      <w:proofErr w:type="spellStart"/>
      <w:r w:rsidRPr="00861797">
        <w:t>deflaatori</w:t>
      </w:r>
      <w:proofErr w:type="spellEnd"/>
      <w:r w:rsidRPr="00861797">
        <w:t xml:space="preserve"> alusel; rõhutab, et liidu eelarvet on väga palju suurendatud, et reageerida mitmesugustele</w:t>
      </w:r>
      <w:r w:rsidR="00190854" w:rsidRPr="00861797">
        <w:t xml:space="preserve"> </w:t>
      </w:r>
      <w:r w:rsidRPr="00861797">
        <w:t>viimastel aastatel tekkinud</w:t>
      </w:r>
      <w:r w:rsidR="00190854" w:rsidRPr="00861797">
        <w:t xml:space="preserve"> </w:t>
      </w:r>
      <w:r w:rsidRPr="00861797">
        <w:t>kriisidele; rõhutab, et tagasimaksetega seotud kõrvalekalle suurendab teiste liikmesriikide koormust;</w:t>
      </w:r>
    </w:p>
    <w:p w14:paraId="04F604A8" w14:textId="4FD121CB" w:rsidR="00BC7062" w:rsidRPr="00861797" w:rsidRDefault="00BC7062" w:rsidP="00BC7062">
      <w:pPr>
        <w:pStyle w:val="NormalHanging12a"/>
      </w:pPr>
      <w:r w:rsidRPr="00861797">
        <w:t>4.</w:t>
      </w:r>
      <w:r w:rsidRPr="00861797">
        <w:tab/>
        <w:t>väljendab heameelt selle üle, et komisjon püüab liidu eelarve uute tuluallikate loomiseks pakkuda rohkem võimalusi; võtab sellega seoses teadmiseks komisjoni 16. juuli 2025.</w:t>
      </w:r>
      <w:r w:rsidR="00190854" w:rsidRPr="00861797">
        <w:t> </w:t>
      </w:r>
      <w:r w:rsidRPr="00861797">
        <w:t>aasta ettepaneku võtta vastu nõukogu otsus Euroopa Liidu omavahendite süsteemi kohta; on seisukohal, et eelarve jaoks kättesaadavate vahendite suurendamiseks tuleb uued omavahendid kiiresti vastu võtta; rõhutab, et uued omavahendid peavad olema õiglased ja neid on vaja mitte ainult selleks, et NGEU rahastamiseks võetud laene saaks tagasi maksta, vaid ka selleks, et liidul oleks suurenevate kulutuste katmiseks piisavad vahendid; tuletab sellega seoses meelde oma pikaajalist seisukohta, et trahvidest ja karistusmaksetest või nendega samaväärsetest summadest laekuvat erakorralist tulu tuleks liidu eelarves käsitleda lisatuluna, mida kasutatakse kriisidele reageerimiseks või ootamatute vajaduste katmiseks, ja selliste summade laekumine ei tohiks tähendada seda, et samas summas vähendatakse kogurahvatulul põhinevaid osamakseid; rõhutab, et praeguse mitmeaastase finantsraamistiku kohaselt saavad liikmesriigid selle raha tegelikult tagasi;</w:t>
      </w:r>
    </w:p>
    <w:p w14:paraId="6D1D5B8C" w14:textId="3EE89B5A" w:rsidR="00BC7062" w:rsidRPr="00861797" w:rsidRDefault="00BC7062" w:rsidP="00BC7062">
      <w:pPr>
        <w:pStyle w:val="NormalHanging12a"/>
      </w:pPr>
      <w:r w:rsidRPr="00861797">
        <w:t>5.</w:t>
      </w:r>
      <w:r w:rsidRPr="00861797">
        <w:tab/>
        <w:t xml:space="preserve">rõhutab, et hiljutistest kriisidest – pandeemiast, energiašokkidest ja Ukrainas peetavast sõjast – saadud õppetundide tõttu tuleb põhjalikult aru pidada, kui suurt paindlikust tuleks järgmise mitmeaastase finantsraamistiku rakendamisel lubada; kordab oma seisukohta, et tulevast paindlikkusinstrumenti tuleks rahastada mitmest täiendavast rahastamisallikast, sealhulgas eelnenud aasta ülejäägist, trahvidest ja tagasimaksetest; võtab teadmiseks mitmeaastase finantsraamistiku määruse ettepaneku asjakohased sätted, milles komisjon teeb ettepaneku lisada paindlikkusinstrumendile kooskõlas </w:t>
      </w:r>
      <w:r w:rsidR="00873571" w:rsidRPr="00861797">
        <w:t>Euroopa P</w:t>
      </w:r>
      <w:r w:rsidRPr="00861797">
        <w:t>arlamendi pikaajaliste nõudmistega teatavad summad; tuletab aga meelde, et paindlikkust ei tohiks suurendada läbipaistvuse arvelt;</w:t>
      </w:r>
    </w:p>
    <w:p w14:paraId="1A4E04BF" w14:textId="7076AFA0" w:rsidR="00BC7062" w:rsidRPr="00861797" w:rsidRDefault="00BC7062" w:rsidP="00BC7062">
      <w:pPr>
        <w:pStyle w:val="NormalHanging12a"/>
      </w:pPr>
      <w:r w:rsidRPr="00861797">
        <w:t>6.</w:t>
      </w:r>
      <w:r w:rsidRPr="00861797">
        <w:tab/>
        <w:t>väljendab heameelt selle üle, et Euroopa Maaelu Arengu Põllumajandusfondi maksete assigneeringuid on ülespoole korrigeeritud, mis näitab, et ÜPP 2023.–2027.</w:t>
      </w:r>
      <w:r w:rsidR="00190854" w:rsidRPr="00861797">
        <w:t> </w:t>
      </w:r>
      <w:r w:rsidRPr="00861797">
        <w:t>aasta strateegiakavu ja 2014.–2020.</w:t>
      </w:r>
      <w:r w:rsidR="00190854" w:rsidRPr="00861797">
        <w:t> </w:t>
      </w:r>
      <w:r w:rsidRPr="00861797">
        <w:t>aasta programmide kohaseid sekkumismeetmeid on hakatud kiiremini ellu viima, mille tulemusel tehakse osa eelmistel eelarveaastatel tekkinud viivitustest tasa;</w:t>
      </w:r>
    </w:p>
    <w:p w14:paraId="3E18C2AB" w14:textId="77777777" w:rsidR="00BC7062" w:rsidRPr="00861797" w:rsidRDefault="00BC7062" w:rsidP="00BC7062">
      <w:pPr>
        <w:pStyle w:val="NormalHanging12a"/>
      </w:pPr>
      <w:r w:rsidRPr="00861797">
        <w:t>7.</w:t>
      </w:r>
      <w:r w:rsidRPr="00861797">
        <w:tab/>
        <w:t xml:space="preserve">peab kiiduväärseks, et süsiniku piirimeetme (SPIM) valdkonnas tehakse praegu parandusi, kuid ei mõista, miks rahavajadus </w:t>
      </w:r>
      <w:proofErr w:type="spellStart"/>
      <w:r w:rsidRPr="00861797">
        <w:t>SPIMi</w:t>
      </w:r>
      <w:proofErr w:type="spellEnd"/>
      <w:r w:rsidRPr="00861797">
        <w:t xml:space="preserve"> määruse lihtsustamise tulemusel mitte ei vähene (sest süsteem muutub tõhusamaks), vaid hoopis ligikaudu 8 miljoni euro võrra suureneb;</w:t>
      </w:r>
    </w:p>
    <w:p w14:paraId="56F0E533" w14:textId="7F0565F2" w:rsidR="00BC7062" w:rsidRPr="00861797" w:rsidRDefault="00BC7062" w:rsidP="00BC7062">
      <w:pPr>
        <w:pStyle w:val="NormalHanging12a"/>
      </w:pPr>
      <w:r w:rsidRPr="00861797">
        <w:t>8.</w:t>
      </w:r>
      <w:r w:rsidRPr="00861797">
        <w:tab/>
        <w:t>peab samamoodi küsitavaks, kas keskse tollisüsteemi (kuulub rubriiki</w:t>
      </w:r>
      <w:r w:rsidR="00190854" w:rsidRPr="00861797">
        <w:t> </w:t>
      </w:r>
      <w:r w:rsidRPr="00861797">
        <w:t xml:space="preserve">1) ja </w:t>
      </w:r>
      <w:proofErr w:type="spellStart"/>
      <w:r w:rsidRPr="00861797">
        <w:t>SPIMi</w:t>
      </w:r>
      <w:proofErr w:type="spellEnd"/>
      <w:r w:rsidRPr="00861797">
        <w:t xml:space="preserve"> (rubriik</w:t>
      </w:r>
      <w:r w:rsidR="00190854" w:rsidRPr="00861797">
        <w:t> </w:t>
      </w:r>
      <w:r w:rsidRPr="00861797">
        <w:t xml:space="preserve">3) lisarahavajadust tuleks kompenseerida tollikontrolliseadmete rahastu (rubriik 4) eraldiste proportsionaalse vähendamisega; peab kahetsusväärseks, et praeguse eelarveolukorra tõttu on komisjon eri rubriikides suuri rahasummasid ümber paigutanud, ning tuletab meelde oma pikaajalist seisukohta, et uute poliitiliste prioriteetide, ülesannete ja vajadustega peaksid kaasnema uued rahaeraldised; rõhutab igati, et liidu prioriteete ei saa rahastada nii, et raha paigutatakse pidevalt ümber, sest niimoodi kahjustatakse investeeringute tegemist ja seatakse ohtu kokkulepitud </w:t>
      </w:r>
      <w:r w:rsidRPr="00861797">
        <w:lastRenderedPageBreak/>
        <w:t>poliitiliste eesmärkide saavutamine;</w:t>
      </w:r>
    </w:p>
    <w:p w14:paraId="7295AF83" w14:textId="77777777" w:rsidR="00BC7062" w:rsidRPr="00861797" w:rsidRDefault="00BC7062" w:rsidP="00BC7062">
      <w:pPr>
        <w:pStyle w:val="NormalHanging12a"/>
      </w:pPr>
      <w:r w:rsidRPr="00861797">
        <w:t>9.</w:t>
      </w:r>
      <w:r w:rsidRPr="00861797">
        <w:tab/>
        <w:t>rõhutab ja peab kiiduväärseks, et kuna ELi Rahapesu ja Terrorismi Rahastamise Tõkestamise Ameti ametikohtade loetelu on veidi muudetud, on ametil võimalik täita oma ülesandeid ettenähtud ajaks ja tõhusalt; tuletab meelde, et sellel väga tähtsal asutusel on maksumaksjate raha kaitsmisel keskne roll ja Euroopa Parlament on seda igati toetanud;</w:t>
      </w:r>
    </w:p>
    <w:p w14:paraId="737B3A8F" w14:textId="5F775F3A" w:rsidR="00BC7062" w:rsidRPr="00861797" w:rsidRDefault="00BC7062" w:rsidP="00BC7062">
      <w:pPr>
        <w:pStyle w:val="NormalHanging12a"/>
      </w:pPr>
      <w:r w:rsidRPr="00861797">
        <w:t>10.</w:t>
      </w:r>
      <w:r w:rsidRPr="00861797">
        <w:tab/>
        <w:t>peab kiiduväärseks, et Bulgaaria on teinud euro kasutuselevõtu nimel tegutsedes edusamme, ning toetab täielikult lisavahendeid, mille abil toetada eurole üleminekut sobivate ja sihipäraste teavitusmeetmetega; tunnistab, et kuna rubriigis</w:t>
      </w:r>
      <w:r w:rsidR="00190854" w:rsidRPr="00861797">
        <w:t> </w:t>
      </w:r>
      <w:r w:rsidRPr="00861797">
        <w:t>2b mittesihtotstarbelist varu ei ole, tuleb selleks kasutusele võtta paindlikkusinstrument;</w:t>
      </w:r>
    </w:p>
    <w:p w14:paraId="59827775" w14:textId="77777777" w:rsidR="00BC7062" w:rsidRPr="00861797" w:rsidRDefault="00BC7062" w:rsidP="00BC7062">
      <w:pPr>
        <w:pStyle w:val="NormalHanging12a"/>
      </w:pPr>
      <w:r w:rsidRPr="00861797">
        <w:t>11.</w:t>
      </w:r>
      <w:r w:rsidRPr="00861797">
        <w:tab/>
        <w:t>kiidab nõukogu seisukoha paranduseelarve projekti nr 2/2025 kohta heaks;</w:t>
      </w:r>
    </w:p>
    <w:p w14:paraId="7D2DB8EA" w14:textId="1B4D15F7" w:rsidR="00BC7062" w:rsidRPr="00861797" w:rsidRDefault="00BC7062" w:rsidP="00BC7062">
      <w:pPr>
        <w:pStyle w:val="NormalHanging12a"/>
      </w:pPr>
      <w:r w:rsidRPr="00861797">
        <w:t>12.</w:t>
      </w:r>
      <w:r w:rsidRPr="00861797">
        <w:tab/>
        <w:t>teeb presidendile ülesandeks kuulutada paranduseelarve nr</w:t>
      </w:r>
      <w:r w:rsidR="00190854" w:rsidRPr="00861797">
        <w:t> </w:t>
      </w:r>
      <w:r w:rsidRPr="00861797">
        <w:t xml:space="preserve">2/2025 lõplikult vastuvõetuks ja korraldada selle avaldamine </w:t>
      </w:r>
      <w:r w:rsidRPr="00861797">
        <w:rPr>
          <w:i/>
        </w:rPr>
        <w:t>Euroopa Liidu Teatajas</w:t>
      </w:r>
      <w:r w:rsidRPr="00861797">
        <w:t>;</w:t>
      </w:r>
    </w:p>
    <w:p w14:paraId="5E1BDB0C" w14:textId="07E00121" w:rsidR="00375356" w:rsidRPr="00861797" w:rsidRDefault="00BC7062" w:rsidP="00375356">
      <w:pPr>
        <w:pStyle w:val="NormalHanging12a"/>
      </w:pPr>
      <w:r w:rsidRPr="00861797">
        <w:t>13.</w:t>
      </w:r>
      <w:r w:rsidRPr="00861797">
        <w:tab/>
        <w:t>teeb presidendile ülesandeks edastada käesolev resolutsioon nõukogule, komisjonile, teistele asjaomastele institutsioonidele ja asutustele ning liikmesriikide parlamentidele.</w:t>
      </w:r>
    </w:p>
    <w:p w14:paraId="62A4D6ED" w14:textId="35E91CC3" w:rsidR="00E365E1" w:rsidRPr="00861797" w:rsidRDefault="00E365E1" w:rsidP="008813B3"/>
    <w:sectPr w:rsidR="00E365E1" w:rsidRPr="00861797" w:rsidSect="003753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3BE74" w14:textId="77777777" w:rsidR="008813B3" w:rsidRPr="00375356" w:rsidRDefault="008813B3">
      <w:r w:rsidRPr="00375356">
        <w:separator/>
      </w:r>
    </w:p>
  </w:endnote>
  <w:endnote w:type="continuationSeparator" w:id="0">
    <w:p w14:paraId="7949CFAD" w14:textId="77777777" w:rsidR="008813B3" w:rsidRPr="00375356" w:rsidRDefault="008813B3">
      <w:r w:rsidRPr="0037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F04C" w14:textId="77777777" w:rsidR="00064002" w:rsidRPr="003753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6548C" w14:textId="77777777" w:rsidR="00064002" w:rsidRPr="003753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3FAC" w14:textId="77777777" w:rsidR="00064002" w:rsidRPr="003753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4DC5A" w14:textId="77777777" w:rsidR="008813B3" w:rsidRPr="00375356" w:rsidRDefault="008813B3">
      <w:r w:rsidRPr="00375356">
        <w:separator/>
      </w:r>
    </w:p>
  </w:footnote>
  <w:footnote w:type="continuationSeparator" w:id="0">
    <w:p w14:paraId="15D9749C" w14:textId="77777777" w:rsidR="008813B3" w:rsidRPr="00375356" w:rsidRDefault="008813B3">
      <w:r w:rsidRPr="00375356">
        <w:continuationSeparator/>
      </w:r>
    </w:p>
  </w:footnote>
  <w:footnote w:id="1">
    <w:p w14:paraId="783F18AD" w14:textId="5CB90B4A" w:rsidR="00BC7062" w:rsidRPr="00AB7657" w:rsidRDefault="00BC7062" w:rsidP="00375356">
      <w:pPr>
        <w:pStyle w:val="FootnoteText"/>
        <w:ind w:left="567" w:hanging="567"/>
        <w:rPr>
          <w:sz w:val="24"/>
          <w:szCs w:val="24"/>
          <w:lang w:val="et-EE"/>
        </w:rPr>
      </w:pPr>
      <w:r w:rsidRPr="00AB7657">
        <w:rPr>
          <w:rStyle w:val="FootnoteReference"/>
          <w:sz w:val="24"/>
          <w:szCs w:val="24"/>
          <w:lang w:val="et-EE"/>
        </w:rPr>
        <w:footnoteRef/>
      </w:r>
      <w:r w:rsidR="00375356" w:rsidRPr="00AB7657">
        <w:rPr>
          <w:sz w:val="24"/>
          <w:szCs w:val="24"/>
          <w:lang w:val="et-EE"/>
        </w:rPr>
        <w:t xml:space="preserve"> </w:t>
      </w:r>
      <w:r w:rsidR="00375356" w:rsidRPr="00AB7657">
        <w:rPr>
          <w:sz w:val="24"/>
          <w:szCs w:val="24"/>
          <w:lang w:val="et-EE"/>
        </w:rPr>
        <w:tab/>
      </w:r>
      <w:r w:rsidRPr="00AB7657">
        <w:rPr>
          <w:sz w:val="24"/>
          <w:szCs w:val="24"/>
          <w:lang w:val="et-EE"/>
        </w:rPr>
        <w:t>ELT</w:t>
      </w:r>
      <w:r w:rsidR="00190854" w:rsidRPr="00AB7657">
        <w:rPr>
          <w:sz w:val="24"/>
          <w:szCs w:val="24"/>
          <w:lang w:val="et-EE"/>
        </w:rPr>
        <w:t> </w:t>
      </w:r>
      <w:r w:rsidRPr="00AB7657">
        <w:rPr>
          <w:sz w:val="24"/>
          <w:szCs w:val="24"/>
          <w:lang w:val="et-EE"/>
        </w:rPr>
        <w:t xml:space="preserve">L, 2024/2509, 26.9.2024, ELI: </w:t>
      </w:r>
      <w:hyperlink r:id="rId1" w:history="1">
        <w:r w:rsidRPr="00AB7657">
          <w:rPr>
            <w:rStyle w:val="Hyperlink"/>
            <w:sz w:val="24"/>
            <w:szCs w:val="24"/>
            <w:lang w:val="et-EE"/>
          </w:rPr>
          <w:t>http://data.europa.eu/eli/reg/2024/2509/oj</w:t>
        </w:r>
      </w:hyperlink>
      <w:r w:rsidRPr="00AB7657">
        <w:rPr>
          <w:sz w:val="24"/>
          <w:szCs w:val="24"/>
          <w:lang w:val="et-EE"/>
        </w:rPr>
        <w:t>.</w:t>
      </w:r>
    </w:p>
  </w:footnote>
  <w:footnote w:id="2">
    <w:p w14:paraId="27A29744" w14:textId="1FEEDD5D" w:rsidR="00BC7062" w:rsidRPr="00AB7657" w:rsidRDefault="00BC7062" w:rsidP="00375356">
      <w:pPr>
        <w:pStyle w:val="FootnoteText"/>
        <w:ind w:left="567" w:hanging="567"/>
        <w:rPr>
          <w:rStyle w:val="Hyperlink"/>
          <w:sz w:val="24"/>
          <w:szCs w:val="24"/>
          <w:lang w:val="et-EE"/>
        </w:rPr>
      </w:pPr>
      <w:r w:rsidRPr="00AB7657">
        <w:rPr>
          <w:rStyle w:val="FootnoteReference"/>
          <w:sz w:val="24"/>
          <w:szCs w:val="24"/>
          <w:lang w:val="et-EE"/>
        </w:rPr>
        <w:footnoteRef/>
      </w:r>
      <w:r w:rsidR="00375356" w:rsidRPr="00AB7657">
        <w:rPr>
          <w:sz w:val="24"/>
          <w:szCs w:val="24"/>
          <w:lang w:val="et-EE"/>
        </w:rPr>
        <w:t xml:space="preserve"> </w:t>
      </w:r>
      <w:r w:rsidR="00375356" w:rsidRPr="00AB7657">
        <w:rPr>
          <w:sz w:val="24"/>
          <w:szCs w:val="24"/>
          <w:lang w:val="et-EE"/>
        </w:rPr>
        <w:tab/>
      </w:r>
      <w:r w:rsidRPr="00AB7657">
        <w:rPr>
          <w:sz w:val="24"/>
          <w:szCs w:val="24"/>
          <w:lang w:val="et-EE"/>
        </w:rPr>
        <w:t>ELT</w:t>
      </w:r>
      <w:r w:rsidR="00190854" w:rsidRPr="00AB7657">
        <w:rPr>
          <w:sz w:val="24"/>
          <w:szCs w:val="24"/>
          <w:lang w:val="et-EE"/>
        </w:rPr>
        <w:t> </w:t>
      </w:r>
      <w:r w:rsidRPr="00AB7657">
        <w:rPr>
          <w:sz w:val="24"/>
          <w:szCs w:val="24"/>
          <w:lang w:val="et-EE"/>
        </w:rPr>
        <w:t xml:space="preserve">L, 2025/31, 27.2.2025, ELI: </w:t>
      </w:r>
      <w:hyperlink r:id="rId2" w:history="1">
        <w:r w:rsidRPr="00AB7657">
          <w:rPr>
            <w:rStyle w:val="Hyperlink"/>
            <w:sz w:val="24"/>
            <w:szCs w:val="24"/>
            <w:lang w:val="et-EE"/>
          </w:rPr>
          <w:t>http://data.europa.eu/eli/budget/2025/31/oj</w:t>
        </w:r>
      </w:hyperlink>
      <w:r w:rsidRPr="00AB7657">
        <w:rPr>
          <w:rStyle w:val="Hyperlink"/>
          <w:sz w:val="24"/>
          <w:szCs w:val="24"/>
          <w:lang w:val="et-EE"/>
        </w:rPr>
        <w:t>.</w:t>
      </w:r>
    </w:p>
  </w:footnote>
  <w:footnote w:id="3">
    <w:p w14:paraId="2391CD44" w14:textId="3AB7296A" w:rsidR="00BC7062" w:rsidRPr="00AB7657" w:rsidRDefault="00BC7062" w:rsidP="00375356">
      <w:pPr>
        <w:pStyle w:val="FootnoteText"/>
        <w:ind w:left="567" w:hanging="567"/>
        <w:rPr>
          <w:rStyle w:val="Hyperlink"/>
          <w:sz w:val="24"/>
          <w:szCs w:val="24"/>
          <w:lang w:val="et-EE"/>
        </w:rPr>
      </w:pPr>
      <w:r w:rsidRPr="00AB7657">
        <w:rPr>
          <w:rStyle w:val="FootnoteReference"/>
          <w:sz w:val="24"/>
          <w:szCs w:val="24"/>
          <w:lang w:val="et-EE"/>
        </w:rPr>
        <w:footnoteRef/>
      </w:r>
      <w:r w:rsidR="00375356" w:rsidRPr="00AB7657">
        <w:rPr>
          <w:sz w:val="24"/>
          <w:szCs w:val="24"/>
          <w:lang w:val="et-EE"/>
        </w:rPr>
        <w:t xml:space="preserve"> </w:t>
      </w:r>
      <w:r w:rsidR="00375356" w:rsidRPr="00AB7657">
        <w:rPr>
          <w:sz w:val="24"/>
          <w:szCs w:val="24"/>
          <w:lang w:val="et-EE"/>
        </w:rPr>
        <w:tab/>
      </w:r>
      <w:r w:rsidRPr="00AB7657">
        <w:rPr>
          <w:sz w:val="24"/>
          <w:szCs w:val="24"/>
          <w:lang w:val="et-EE"/>
        </w:rPr>
        <w:t>ELT</w:t>
      </w:r>
      <w:r w:rsidR="00190854" w:rsidRPr="00AB7657">
        <w:rPr>
          <w:sz w:val="24"/>
          <w:szCs w:val="24"/>
          <w:lang w:val="et-EE"/>
        </w:rPr>
        <w:t> </w:t>
      </w:r>
      <w:r w:rsidRPr="00AB7657">
        <w:rPr>
          <w:sz w:val="24"/>
          <w:szCs w:val="24"/>
          <w:lang w:val="et-EE"/>
        </w:rPr>
        <w:t>L</w:t>
      </w:r>
      <w:r w:rsidR="00190854" w:rsidRPr="00AB7657">
        <w:rPr>
          <w:sz w:val="24"/>
          <w:szCs w:val="24"/>
          <w:lang w:val="et-EE"/>
        </w:rPr>
        <w:t> </w:t>
      </w:r>
      <w:r w:rsidRPr="00AB7657">
        <w:rPr>
          <w:sz w:val="24"/>
          <w:szCs w:val="24"/>
          <w:lang w:val="et-EE"/>
        </w:rPr>
        <w:t>433</w:t>
      </w:r>
      <w:r w:rsidR="00190854" w:rsidRPr="00AB7657">
        <w:rPr>
          <w:sz w:val="24"/>
          <w:szCs w:val="24"/>
          <w:lang w:val="et-EE"/>
        </w:rPr>
        <w:t> </w:t>
      </w:r>
      <w:r w:rsidRPr="00AB7657">
        <w:rPr>
          <w:sz w:val="24"/>
          <w:szCs w:val="24"/>
          <w:lang w:val="et-EE"/>
        </w:rPr>
        <w:t>I, 22.12.2020, lk</w:t>
      </w:r>
      <w:r w:rsidR="00190854" w:rsidRPr="00AB7657">
        <w:rPr>
          <w:sz w:val="24"/>
          <w:szCs w:val="24"/>
          <w:lang w:val="et-EE"/>
        </w:rPr>
        <w:t> </w:t>
      </w:r>
      <w:r w:rsidRPr="00AB7657">
        <w:rPr>
          <w:sz w:val="24"/>
          <w:szCs w:val="24"/>
          <w:lang w:val="et-EE"/>
        </w:rPr>
        <w:t xml:space="preserve">11, ELI: </w:t>
      </w:r>
      <w:hyperlink r:id="rId3" w:history="1">
        <w:r w:rsidRPr="00AB7657">
          <w:rPr>
            <w:rStyle w:val="Hyperlink"/>
            <w:sz w:val="24"/>
            <w:szCs w:val="24"/>
            <w:lang w:val="et-EE"/>
          </w:rPr>
          <w:t>http://data.europa.eu/eli/reg/2020/433/oj</w:t>
        </w:r>
      </w:hyperlink>
      <w:r w:rsidRPr="00AB7657">
        <w:rPr>
          <w:rStyle w:val="Hyperlink"/>
          <w:sz w:val="24"/>
          <w:szCs w:val="24"/>
          <w:lang w:val="et-EE"/>
        </w:rPr>
        <w:t>.</w:t>
      </w:r>
    </w:p>
  </w:footnote>
  <w:footnote w:id="4">
    <w:p w14:paraId="2B7C8112" w14:textId="1FF7427E" w:rsidR="00BC7062" w:rsidRPr="00AB7657" w:rsidRDefault="00BC7062" w:rsidP="00375356">
      <w:pPr>
        <w:pStyle w:val="FootnoteText"/>
        <w:ind w:left="567" w:hanging="567"/>
        <w:rPr>
          <w:sz w:val="24"/>
          <w:szCs w:val="24"/>
          <w:lang w:val="et-EE"/>
        </w:rPr>
      </w:pPr>
      <w:r w:rsidRPr="00AB7657">
        <w:rPr>
          <w:rStyle w:val="FootnoteReference"/>
          <w:sz w:val="24"/>
          <w:szCs w:val="24"/>
          <w:lang w:val="et-EE"/>
        </w:rPr>
        <w:footnoteRef/>
      </w:r>
      <w:r w:rsidR="00375356" w:rsidRPr="00AB7657">
        <w:rPr>
          <w:sz w:val="24"/>
          <w:szCs w:val="24"/>
          <w:lang w:val="et-EE"/>
        </w:rPr>
        <w:t xml:space="preserve"> </w:t>
      </w:r>
      <w:r w:rsidR="00375356" w:rsidRPr="00AB7657">
        <w:rPr>
          <w:sz w:val="24"/>
          <w:szCs w:val="24"/>
          <w:lang w:val="et-EE"/>
        </w:rPr>
        <w:tab/>
      </w:r>
      <w:r w:rsidRPr="00AB7657">
        <w:rPr>
          <w:sz w:val="24"/>
          <w:szCs w:val="24"/>
          <w:lang w:val="et-EE"/>
        </w:rPr>
        <w:t>ELT</w:t>
      </w:r>
      <w:r w:rsidR="00190854" w:rsidRPr="00AB7657">
        <w:rPr>
          <w:sz w:val="24"/>
          <w:szCs w:val="24"/>
          <w:lang w:val="et-EE"/>
        </w:rPr>
        <w:t> </w:t>
      </w:r>
      <w:r w:rsidRPr="00AB7657">
        <w:rPr>
          <w:sz w:val="24"/>
          <w:szCs w:val="24"/>
          <w:lang w:val="et-EE"/>
        </w:rPr>
        <w:t>L</w:t>
      </w:r>
      <w:r w:rsidR="00190854" w:rsidRPr="00AB7657">
        <w:rPr>
          <w:sz w:val="24"/>
          <w:szCs w:val="24"/>
          <w:lang w:val="et-EE"/>
        </w:rPr>
        <w:t> </w:t>
      </w:r>
      <w:r w:rsidRPr="00AB7657">
        <w:rPr>
          <w:sz w:val="24"/>
          <w:szCs w:val="24"/>
          <w:lang w:val="et-EE"/>
        </w:rPr>
        <w:t>433</w:t>
      </w:r>
      <w:r w:rsidR="00190854" w:rsidRPr="00AB7657">
        <w:rPr>
          <w:sz w:val="24"/>
          <w:szCs w:val="24"/>
          <w:lang w:val="et-EE"/>
        </w:rPr>
        <w:t> </w:t>
      </w:r>
      <w:r w:rsidRPr="00AB7657">
        <w:rPr>
          <w:sz w:val="24"/>
          <w:szCs w:val="24"/>
          <w:lang w:val="et-EE"/>
        </w:rPr>
        <w:t>I, 22.12.2020, lk</w:t>
      </w:r>
      <w:r w:rsidR="00190854" w:rsidRPr="00AB7657">
        <w:rPr>
          <w:sz w:val="24"/>
          <w:szCs w:val="24"/>
          <w:lang w:val="et-EE"/>
        </w:rPr>
        <w:t> </w:t>
      </w:r>
      <w:r w:rsidRPr="00AB7657">
        <w:rPr>
          <w:sz w:val="24"/>
          <w:szCs w:val="24"/>
          <w:lang w:val="et-EE"/>
        </w:rPr>
        <w:t xml:space="preserve">28, ELI: </w:t>
      </w:r>
      <w:hyperlink r:id="rId4" w:history="1">
        <w:r w:rsidRPr="00AB7657">
          <w:rPr>
            <w:rStyle w:val="Hyperlink"/>
            <w:sz w:val="24"/>
            <w:szCs w:val="24"/>
            <w:lang w:val="et-EE"/>
          </w:rPr>
          <w:t>http://data.europa.eu/eli/agree_interinstit/2020/1222/oj</w:t>
        </w:r>
      </w:hyperlink>
      <w:r w:rsidRPr="00AB7657">
        <w:rPr>
          <w:rStyle w:val="Hyperlink"/>
          <w:sz w:val="24"/>
          <w:szCs w:val="24"/>
          <w:lang w:val="et-EE"/>
        </w:rPr>
        <w:t>.</w:t>
      </w:r>
    </w:p>
  </w:footnote>
  <w:footnote w:id="5">
    <w:p w14:paraId="6270616F" w14:textId="159A7871" w:rsidR="00BC7062" w:rsidRPr="00AB7657" w:rsidRDefault="00BC7062" w:rsidP="00375356">
      <w:pPr>
        <w:pStyle w:val="FootnoteText"/>
        <w:ind w:left="567" w:hanging="567"/>
        <w:rPr>
          <w:sz w:val="24"/>
          <w:szCs w:val="24"/>
          <w:lang w:val="et-EE"/>
        </w:rPr>
      </w:pPr>
      <w:r w:rsidRPr="00AB7657">
        <w:rPr>
          <w:rStyle w:val="FootnoteReference"/>
          <w:sz w:val="24"/>
          <w:szCs w:val="24"/>
          <w:lang w:val="et-EE"/>
        </w:rPr>
        <w:footnoteRef/>
      </w:r>
      <w:r w:rsidR="00375356" w:rsidRPr="00AB7657">
        <w:rPr>
          <w:sz w:val="24"/>
          <w:szCs w:val="24"/>
          <w:lang w:val="et-EE"/>
        </w:rPr>
        <w:t xml:space="preserve"> </w:t>
      </w:r>
      <w:r w:rsidR="00375356" w:rsidRPr="00AB7657">
        <w:rPr>
          <w:sz w:val="24"/>
          <w:szCs w:val="24"/>
          <w:lang w:val="et-EE"/>
        </w:rPr>
        <w:tab/>
      </w:r>
      <w:r w:rsidRPr="00AB7657">
        <w:rPr>
          <w:sz w:val="24"/>
          <w:szCs w:val="24"/>
          <w:lang w:val="et-EE"/>
        </w:rPr>
        <w:t>ELT</w:t>
      </w:r>
      <w:r w:rsidR="00190854" w:rsidRPr="00AB7657">
        <w:rPr>
          <w:sz w:val="24"/>
          <w:szCs w:val="24"/>
          <w:lang w:val="et-EE"/>
        </w:rPr>
        <w:t> </w:t>
      </w:r>
      <w:r w:rsidRPr="00AB7657">
        <w:rPr>
          <w:sz w:val="24"/>
          <w:szCs w:val="24"/>
          <w:lang w:val="et-EE"/>
        </w:rPr>
        <w:t>L</w:t>
      </w:r>
      <w:r w:rsidR="00190854" w:rsidRPr="00AB7657">
        <w:rPr>
          <w:sz w:val="24"/>
          <w:szCs w:val="24"/>
          <w:lang w:val="et-EE"/>
        </w:rPr>
        <w:t> </w:t>
      </w:r>
      <w:r w:rsidRPr="00AB7657">
        <w:rPr>
          <w:sz w:val="24"/>
          <w:szCs w:val="24"/>
          <w:lang w:val="et-EE"/>
        </w:rPr>
        <w:t>424, 15.12.2020, lk</w:t>
      </w:r>
      <w:r w:rsidR="00190854" w:rsidRPr="00AB7657">
        <w:rPr>
          <w:sz w:val="24"/>
          <w:szCs w:val="24"/>
          <w:lang w:val="et-EE"/>
        </w:rPr>
        <w:t> </w:t>
      </w:r>
      <w:r w:rsidRPr="00AB7657">
        <w:rPr>
          <w:sz w:val="24"/>
          <w:szCs w:val="24"/>
          <w:lang w:val="et-EE"/>
        </w:rPr>
        <w:t xml:space="preserve">1, ELI: </w:t>
      </w:r>
      <w:hyperlink r:id="rId5" w:history="1">
        <w:r w:rsidRPr="00AB7657">
          <w:rPr>
            <w:rStyle w:val="Hyperlink"/>
            <w:sz w:val="24"/>
            <w:szCs w:val="24"/>
            <w:lang w:val="et-EE"/>
          </w:rPr>
          <w:t>http://data.europa.eu/eli/dec/2020/2053/oj</w:t>
        </w:r>
      </w:hyperlink>
      <w:r w:rsidRPr="00AB7657">
        <w:rPr>
          <w:rStyle w:val="Hyperlink"/>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D556" w14:textId="77777777" w:rsidR="00064002" w:rsidRPr="003753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6F94B" w14:textId="77777777" w:rsidR="00064002" w:rsidRPr="003753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10BF" w14:textId="77777777" w:rsidR="00064002" w:rsidRPr="003753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0099007">
    <w:abstractNumId w:val="9"/>
  </w:num>
  <w:num w:numId="2" w16cid:durableId="594560567">
    <w:abstractNumId w:val="9"/>
  </w:num>
  <w:num w:numId="3" w16cid:durableId="160897170">
    <w:abstractNumId w:val="7"/>
  </w:num>
  <w:num w:numId="4" w16cid:durableId="4594515">
    <w:abstractNumId w:val="7"/>
  </w:num>
  <w:num w:numId="5" w16cid:durableId="1310935071">
    <w:abstractNumId w:val="6"/>
  </w:num>
  <w:num w:numId="6" w16cid:durableId="1676690911">
    <w:abstractNumId w:val="6"/>
  </w:num>
  <w:num w:numId="7" w16cid:durableId="1021476187">
    <w:abstractNumId w:val="5"/>
  </w:num>
  <w:num w:numId="8" w16cid:durableId="1381586866">
    <w:abstractNumId w:val="5"/>
  </w:num>
  <w:num w:numId="9" w16cid:durableId="311183715">
    <w:abstractNumId w:val="4"/>
  </w:num>
  <w:num w:numId="10" w16cid:durableId="1338847640">
    <w:abstractNumId w:val="4"/>
  </w:num>
  <w:num w:numId="11" w16cid:durableId="1657026387">
    <w:abstractNumId w:val="8"/>
  </w:num>
  <w:num w:numId="12" w16cid:durableId="1048604000">
    <w:abstractNumId w:val="8"/>
  </w:num>
  <w:num w:numId="13" w16cid:durableId="1770157585">
    <w:abstractNumId w:val="3"/>
  </w:num>
  <w:num w:numId="14" w16cid:durableId="1493830526">
    <w:abstractNumId w:val="3"/>
  </w:num>
  <w:num w:numId="15" w16cid:durableId="961572740">
    <w:abstractNumId w:val="2"/>
  </w:num>
  <w:num w:numId="16" w16cid:durableId="1242332386">
    <w:abstractNumId w:val="2"/>
  </w:num>
  <w:num w:numId="17" w16cid:durableId="1782871108">
    <w:abstractNumId w:val="1"/>
  </w:num>
  <w:num w:numId="18" w16cid:durableId="2073649911">
    <w:abstractNumId w:val="1"/>
  </w:num>
  <w:num w:numId="19" w16cid:durableId="39941154">
    <w:abstractNumId w:val="0"/>
  </w:num>
  <w:num w:numId="20" w16cid:durableId="1235822283">
    <w:abstractNumId w:val="0"/>
  </w:num>
  <w:num w:numId="21" w16cid:durableId="1190140269">
    <w:abstractNumId w:val="9"/>
  </w:num>
  <w:num w:numId="22" w16cid:durableId="422917637">
    <w:abstractNumId w:val="7"/>
  </w:num>
  <w:num w:numId="23" w16cid:durableId="1623413396">
    <w:abstractNumId w:val="6"/>
  </w:num>
  <w:num w:numId="24" w16cid:durableId="2033531063">
    <w:abstractNumId w:val="5"/>
  </w:num>
  <w:num w:numId="25" w16cid:durableId="481853400">
    <w:abstractNumId w:val="4"/>
  </w:num>
  <w:num w:numId="26" w16cid:durableId="235944460">
    <w:abstractNumId w:val="8"/>
  </w:num>
  <w:num w:numId="27" w16cid:durableId="1135830843">
    <w:abstractNumId w:val="3"/>
  </w:num>
  <w:num w:numId="28" w16cid:durableId="1821001030">
    <w:abstractNumId w:val="2"/>
  </w:num>
  <w:num w:numId="29" w16cid:durableId="776825273">
    <w:abstractNumId w:val="1"/>
  </w:num>
  <w:num w:numId="30" w16cid:durableId="1387414284">
    <w:abstractNumId w:val="0"/>
  </w:num>
  <w:num w:numId="31" w16cid:durableId="1338995197">
    <w:abstractNumId w:val="9"/>
  </w:num>
  <w:num w:numId="32" w16cid:durableId="1839344084">
    <w:abstractNumId w:val="7"/>
  </w:num>
  <w:num w:numId="33" w16cid:durableId="140579802">
    <w:abstractNumId w:val="6"/>
  </w:num>
  <w:num w:numId="34" w16cid:durableId="744304819">
    <w:abstractNumId w:val="5"/>
  </w:num>
  <w:num w:numId="35" w16cid:durableId="1212381823">
    <w:abstractNumId w:val="4"/>
  </w:num>
  <w:num w:numId="36" w16cid:durableId="905870489">
    <w:abstractNumId w:val="8"/>
  </w:num>
  <w:num w:numId="37" w16cid:durableId="1322855149">
    <w:abstractNumId w:val="3"/>
  </w:num>
  <w:num w:numId="38" w16cid:durableId="1949196289">
    <w:abstractNumId w:val="2"/>
  </w:num>
  <w:num w:numId="39" w16cid:durableId="759566111">
    <w:abstractNumId w:val="1"/>
  </w:num>
  <w:num w:numId="40" w16cid:durableId="785852827">
    <w:abstractNumId w:val="0"/>
  </w:num>
  <w:num w:numId="41" w16cid:durableId="1698583972">
    <w:abstractNumId w:val="10"/>
  </w:num>
  <w:num w:numId="42" w16cid:durableId="156382850">
    <w:abstractNumId w:val="10"/>
  </w:num>
  <w:num w:numId="43" w16cid:durableId="1800759450">
    <w:abstractNumId w:val="10"/>
  </w:num>
  <w:num w:numId="44" w16cid:durableId="633489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ET"/>
    <w:docVar w:name="dvnumam" w:val="0"/>
    <w:docVar w:name="dvpe" w:val="776.838"/>
    <w:docVar w:name="dvrapporteur" w:val="Raportöör: "/>
    <w:docVar w:name="dvtitre" w:val="Euroopa Parlamendi .... 2025. aasta resolutsioon mis käsitleb nõukogu seisukohta Euroopa Liidu 2025. aasta paranduseelarve projekti nr 2/2025 kohta – Tulude ajakohastamine (omavahendid) ja kulude kohandamine(12353/2025 – C10-0209/2025 – 2025/0206(BUD))"/>
  </w:docVars>
  <w:rsids>
    <w:rsidRoot w:val="008813B3"/>
    <w:rsid w:val="00002272"/>
    <w:rsid w:val="00036B29"/>
    <w:rsid w:val="000373E3"/>
    <w:rsid w:val="00064002"/>
    <w:rsid w:val="000677B9"/>
    <w:rsid w:val="00081031"/>
    <w:rsid w:val="000831BA"/>
    <w:rsid w:val="000A42CC"/>
    <w:rsid w:val="000E7DD9"/>
    <w:rsid w:val="0010095E"/>
    <w:rsid w:val="00125B37"/>
    <w:rsid w:val="001773A6"/>
    <w:rsid w:val="00187494"/>
    <w:rsid w:val="00190854"/>
    <w:rsid w:val="001F32AE"/>
    <w:rsid w:val="002767FF"/>
    <w:rsid w:val="002B18FE"/>
    <w:rsid w:val="002B5493"/>
    <w:rsid w:val="00316712"/>
    <w:rsid w:val="00343214"/>
    <w:rsid w:val="00361C00"/>
    <w:rsid w:val="00375356"/>
    <w:rsid w:val="00395FA1"/>
    <w:rsid w:val="003E15D4"/>
    <w:rsid w:val="00411CCE"/>
    <w:rsid w:val="0041666E"/>
    <w:rsid w:val="0042097A"/>
    <w:rsid w:val="00421060"/>
    <w:rsid w:val="00471C19"/>
    <w:rsid w:val="004867E3"/>
    <w:rsid w:val="00494A28"/>
    <w:rsid w:val="004C0004"/>
    <w:rsid w:val="004C5D52"/>
    <w:rsid w:val="004D6E1F"/>
    <w:rsid w:val="0050519A"/>
    <w:rsid w:val="005072A1"/>
    <w:rsid w:val="00514517"/>
    <w:rsid w:val="00542F3B"/>
    <w:rsid w:val="00545827"/>
    <w:rsid w:val="00560270"/>
    <w:rsid w:val="00574AB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797"/>
    <w:rsid w:val="00865F67"/>
    <w:rsid w:val="00873571"/>
    <w:rsid w:val="008813B3"/>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657"/>
    <w:rsid w:val="00AE0928"/>
    <w:rsid w:val="00AF3B82"/>
    <w:rsid w:val="00B12E95"/>
    <w:rsid w:val="00B22876"/>
    <w:rsid w:val="00B558F0"/>
    <w:rsid w:val="00BC7062"/>
    <w:rsid w:val="00BD48FE"/>
    <w:rsid w:val="00BD7BD8"/>
    <w:rsid w:val="00BE6ADC"/>
    <w:rsid w:val="00C05BFE"/>
    <w:rsid w:val="00C23CD4"/>
    <w:rsid w:val="00C44C37"/>
    <w:rsid w:val="00C61C0C"/>
    <w:rsid w:val="00C941CB"/>
    <w:rsid w:val="00CC2357"/>
    <w:rsid w:val="00CF071A"/>
    <w:rsid w:val="00D058B8"/>
    <w:rsid w:val="00D56C11"/>
    <w:rsid w:val="00D834A0"/>
    <w:rsid w:val="00D872DF"/>
    <w:rsid w:val="00D91E21"/>
    <w:rsid w:val="00DA7FCD"/>
    <w:rsid w:val="00E365E1"/>
    <w:rsid w:val="00E820A4"/>
    <w:rsid w:val="00EA6BD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13214"/>
  <w15:chartTrackingRefBased/>
  <w15:docId w15:val="{CAC0DEAC-14D0-4330-AD1F-345A3A06E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7062"/>
    <w:pPr>
      <w:spacing w:before="480" w:after="240"/>
    </w:pPr>
  </w:style>
  <w:style w:type="paragraph" w:customStyle="1" w:styleId="NormalHanging12a">
    <w:name w:val="NormalHanging12a"/>
    <w:basedOn w:val="Normal"/>
    <w:link w:val="NormalHanging12aChar"/>
    <w:rsid w:val="00BC7062"/>
    <w:pPr>
      <w:spacing w:after="240"/>
      <w:ind w:left="567" w:hanging="567"/>
    </w:pPr>
  </w:style>
  <w:style w:type="character" w:styleId="Hyperlink">
    <w:name w:val="Hyperlink"/>
    <w:basedOn w:val="DefaultParagraphFont"/>
    <w:uiPriority w:val="99"/>
    <w:rsid w:val="00BC7062"/>
    <w:rPr>
      <w:color w:val="0563C1" w:themeColor="hyperlink"/>
      <w:u w:val="single"/>
    </w:rPr>
  </w:style>
  <w:style w:type="character" w:customStyle="1" w:styleId="NormalHanging12aChar">
    <w:name w:val="NormalHanging12a Char"/>
    <w:basedOn w:val="DefaultParagraphFont"/>
    <w:link w:val="NormalHanging12a"/>
    <w:locked/>
    <w:rsid w:val="00BC7062"/>
    <w:rPr>
      <w:sz w:val="24"/>
      <w:lang w:val="et-EE"/>
    </w:rPr>
  </w:style>
  <w:style w:type="paragraph" w:styleId="Revision">
    <w:name w:val="Revision"/>
    <w:hidden/>
    <w:uiPriority w:val="99"/>
    <w:semiHidden/>
    <w:rsid w:val="00C44C3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7931</Characters>
  <Application>Microsoft Office Word</Application>
  <DocSecurity>0</DocSecurity>
  <Lines>149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2025-12-16T10:00:00Z</dcterms:created>
  <dcterms:modified xsi:type="dcterms:W3CDTF">2025-12-16T10:00:00Z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P10_TA(2025)0218_</vt:lpwstr>
  </property>
  <property fmtid="{D5CDD505-2E9C-101B-9397-08002B2CF9AE}" pid="4" name="&lt;Type&gt;">
    <vt:lpwstr>RR</vt:lpwstr>
  </property>
</Properties>
</file>