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36E5" w14:paraId="4DEB2ED5" w14:textId="77777777" w:rsidTr="0010095E">
        <w:trPr>
          <w:trHeight w:hRule="exact" w:val="1418"/>
        </w:trPr>
        <w:tc>
          <w:tcPr>
            <w:tcW w:w="6804" w:type="dxa"/>
            <w:shd w:val="clear" w:color="auto" w:fill="auto"/>
            <w:vAlign w:val="center"/>
          </w:tcPr>
          <w:p w14:paraId="3FE90EFB" w14:textId="77777777" w:rsidR="00751A4A" w:rsidRPr="000036E5" w:rsidRDefault="00626396" w:rsidP="0010095E">
            <w:pPr>
              <w:pStyle w:val="EPName"/>
            </w:pPr>
            <w:r w:rsidRPr="000036E5">
              <w:t>Euroopan parlamentti</w:t>
            </w:r>
          </w:p>
          <w:p w14:paraId="6AF08FA5" w14:textId="77777777" w:rsidR="00751A4A" w:rsidRPr="000036E5" w:rsidRDefault="005F1B17" w:rsidP="005F1B17">
            <w:pPr>
              <w:pStyle w:val="EPTerm"/>
              <w:rPr>
                <w:rStyle w:val="HideTWBExt"/>
                <w:noProof w:val="0"/>
                <w:vanish w:val="0"/>
                <w:color w:val="auto"/>
              </w:rPr>
            </w:pPr>
            <w:proofErr w:type="gramStart"/>
            <w:r w:rsidRPr="000036E5">
              <w:t>2024</w:t>
            </w:r>
            <w:r w:rsidR="00817416" w:rsidRPr="000036E5">
              <w:t>-202</w:t>
            </w:r>
            <w:r w:rsidRPr="000036E5">
              <w:t>9</w:t>
            </w:r>
            <w:proofErr w:type="gramEnd"/>
          </w:p>
        </w:tc>
        <w:tc>
          <w:tcPr>
            <w:tcW w:w="2268" w:type="dxa"/>
            <w:shd w:val="clear" w:color="auto" w:fill="auto"/>
          </w:tcPr>
          <w:p w14:paraId="29C38C54" w14:textId="77777777" w:rsidR="00751A4A" w:rsidRPr="000036E5" w:rsidRDefault="00187494" w:rsidP="0010095E">
            <w:pPr>
              <w:pStyle w:val="EPLogo"/>
            </w:pPr>
            <w:r w:rsidRPr="000036E5">
              <w:rPr>
                <w:noProof/>
                <w:lang w:eastAsia="ja-JP"/>
              </w:rPr>
              <w:drawing>
                <wp:inline distT="0" distB="0" distL="0" distR="0" wp14:anchorId="489D5418" wp14:editId="56AFEB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7083AF" w14:textId="77777777" w:rsidR="00D058B8" w:rsidRPr="000036E5" w:rsidRDefault="00D058B8" w:rsidP="004C5D52">
      <w:pPr>
        <w:pStyle w:val="LineTop"/>
      </w:pPr>
    </w:p>
    <w:p w14:paraId="4178B667" w14:textId="77777777" w:rsidR="00680577" w:rsidRPr="000036E5" w:rsidRDefault="00626396" w:rsidP="00680577">
      <w:pPr>
        <w:pStyle w:val="EPBodyTA1"/>
      </w:pPr>
      <w:r w:rsidRPr="000036E5">
        <w:t>HYVÄKSYTYT TEKSTIT</w:t>
      </w:r>
    </w:p>
    <w:p w14:paraId="4EFA617D" w14:textId="77777777" w:rsidR="00D058B8" w:rsidRPr="000036E5" w:rsidRDefault="00D058B8" w:rsidP="00D058B8">
      <w:pPr>
        <w:pStyle w:val="LineBottom"/>
      </w:pPr>
    </w:p>
    <w:p w14:paraId="767ACA9A" w14:textId="644996F5" w:rsidR="00626396" w:rsidRPr="000036E5" w:rsidRDefault="00626396" w:rsidP="00626396">
      <w:pPr>
        <w:pStyle w:val="ATHeading1"/>
      </w:pPr>
      <w:bookmarkStart w:id="0" w:name="TANumber"/>
      <w:r w:rsidRPr="000036E5">
        <w:t>P10_TA(2025)0</w:t>
      </w:r>
      <w:r w:rsidR="00F622BC">
        <w:t>218</w:t>
      </w:r>
      <w:bookmarkEnd w:id="0"/>
    </w:p>
    <w:p w14:paraId="372EB047" w14:textId="2906B4C8" w:rsidR="00626396" w:rsidRPr="000036E5" w:rsidRDefault="00626396" w:rsidP="00626396">
      <w:pPr>
        <w:pStyle w:val="ATHeading2"/>
      </w:pPr>
      <w:bookmarkStart w:id="1" w:name="title"/>
      <w:r w:rsidRPr="000036E5">
        <w:t>Lisätalousarvioesitys nro 2</w:t>
      </w:r>
      <w:r w:rsidR="001A359D">
        <w:t>/</w:t>
      </w:r>
      <w:r w:rsidRPr="000036E5">
        <w:t>2025</w:t>
      </w:r>
      <w:r w:rsidR="001A359D">
        <w:t>:</w:t>
      </w:r>
      <w:r w:rsidRPr="000036E5">
        <w:t xml:space="preserve"> </w:t>
      </w:r>
      <w:r w:rsidR="004C3D99">
        <w:t>t</w:t>
      </w:r>
      <w:r w:rsidRPr="000036E5">
        <w:t>ulojen tarkistaminen</w:t>
      </w:r>
      <w:r w:rsidR="00CA517E">
        <w:t xml:space="preserve"> </w:t>
      </w:r>
      <w:r w:rsidRPr="000036E5">
        <w:t>(omat varat) ja menoja koskevat mukautukset</w:t>
      </w:r>
      <w:bookmarkEnd w:id="1"/>
    </w:p>
    <w:p w14:paraId="152D622C" w14:textId="77777777" w:rsidR="00626396" w:rsidRPr="000036E5" w:rsidRDefault="00626396" w:rsidP="00626396">
      <w:pPr>
        <w:rPr>
          <w:i/>
          <w:vanish/>
        </w:rPr>
      </w:pPr>
      <w:r w:rsidRPr="000036E5">
        <w:rPr>
          <w:i/>
        </w:rPr>
        <w:fldChar w:fldCharType="begin"/>
      </w:r>
      <w:r w:rsidRPr="000036E5">
        <w:rPr>
          <w:i/>
        </w:rPr>
        <w:instrText xml:space="preserve"> TC"(</w:instrText>
      </w:r>
      <w:bookmarkStart w:id="2" w:name="DocNumber"/>
      <w:r w:rsidRPr="000036E5">
        <w:rPr>
          <w:i/>
        </w:rPr>
        <w:instrText>A10-0165/2025</w:instrText>
      </w:r>
      <w:bookmarkEnd w:id="2"/>
      <w:r w:rsidRPr="000036E5">
        <w:rPr>
          <w:i/>
        </w:rPr>
        <w:instrText xml:space="preserve"> - Esittelijä: Victor Negrescu)"\l3 \n&gt; \* MERGEFORMAT </w:instrText>
      </w:r>
      <w:r w:rsidRPr="000036E5">
        <w:rPr>
          <w:i/>
        </w:rPr>
        <w:fldChar w:fldCharType="end"/>
      </w:r>
    </w:p>
    <w:p w14:paraId="091BE550" w14:textId="77777777" w:rsidR="00626396" w:rsidRPr="000036E5" w:rsidRDefault="00626396" w:rsidP="00626396">
      <w:pPr>
        <w:rPr>
          <w:vanish/>
        </w:rPr>
      </w:pPr>
      <w:bookmarkStart w:id="3" w:name="Commission"/>
      <w:r w:rsidRPr="000036E5">
        <w:rPr>
          <w:vanish/>
        </w:rPr>
        <w:t>Budjettivaliokunta</w:t>
      </w:r>
      <w:bookmarkEnd w:id="3"/>
    </w:p>
    <w:p w14:paraId="0E38F1CD" w14:textId="77777777" w:rsidR="00626396" w:rsidRPr="000036E5" w:rsidRDefault="00626396" w:rsidP="00626396">
      <w:pPr>
        <w:rPr>
          <w:vanish/>
        </w:rPr>
      </w:pPr>
      <w:bookmarkStart w:id="4" w:name="PE"/>
      <w:r w:rsidRPr="000036E5">
        <w:rPr>
          <w:vanish/>
        </w:rPr>
        <w:t>PE776.838</w:t>
      </w:r>
      <w:bookmarkEnd w:id="4"/>
    </w:p>
    <w:p w14:paraId="39A100BE" w14:textId="6090F763" w:rsidR="00626396" w:rsidRPr="000036E5" w:rsidRDefault="00626396" w:rsidP="00626396">
      <w:pPr>
        <w:pStyle w:val="ATHeading3"/>
      </w:pPr>
      <w:bookmarkStart w:id="5" w:name="Sujet"/>
      <w:r w:rsidRPr="000036E5">
        <w:t xml:space="preserve">Euroopan parlamentin päätöslauselma </w:t>
      </w:r>
      <w:r w:rsidR="001A359D">
        <w:t>8</w:t>
      </w:r>
      <w:r w:rsidRPr="000036E5">
        <w:t>. lokakuuta 2025 neuvoston kannasta esitykseen Euroopan unionin lisätalousarvioksi nro 2/2025 varainhoitovuodeksi 2025 – tulojen tarkistaminen (omat varat) ja menoja koskevat mukautukset</w:t>
      </w:r>
      <w:bookmarkEnd w:id="5"/>
      <w:r w:rsidRPr="000036E5">
        <w:t xml:space="preserve"> </w:t>
      </w:r>
      <w:bookmarkStart w:id="6" w:name="References"/>
      <w:r w:rsidRPr="000036E5">
        <w:t>(12353/2025 – C10-0209/</w:t>
      </w:r>
      <w:proofErr w:type="gramStart"/>
      <w:r w:rsidRPr="000036E5">
        <w:t>2025 – 2025</w:t>
      </w:r>
      <w:proofErr w:type="gramEnd"/>
      <w:r w:rsidRPr="000036E5">
        <w:t>/0206(BUD))</w:t>
      </w:r>
      <w:bookmarkEnd w:id="6"/>
    </w:p>
    <w:p w14:paraId="7E15B35F" w14:textId="77777777" w:rsidR="00986517" w:rsidRPr="000036E5" w:rsidRDefault="00986517" w:rsidP="00986517">
      <w:pPr>
        <w:pStyle w:val="EPComma"/>
        <w:widowControl/>
      </w:pPr>
      <w:bookmarkStart w:id="7" w:name="TextBodyBegin"/>
      <w:bookmarkEnd w:id="7"/>
      <w:r w:rsidRPr="000036E5">
        <w:rPr>
          <w:i/>
          <w:iCs/>
        </w:rPr>
        <w:t>Euroopan parlamentti</w:t>
      </w:r>
      <w:r w:rsidRPr="000036E5">
        <w:t>, joka</w:t>
      </w:r>
    </w:p>
    <w:p w14:paraId="218F33D5" w14:textId="77777777" w:rsidR="00986517" w:rsidRPr="000036E5" w:rsidRDefault="00986517" w:rsidP="00CA517E">
      <w:pPr>
        <w:pStyle w:val="NormalHanging12a"/>
        <w:widowControl/>
      </w:pPr>
      <w:r w:rsidRPr="000036E5">
        <w:t>–</w:t>
      </w:r>
      <w:r w:rsidRPr="000036E5">
        <w:tab/>
        <w:t>ottaa huomioon Euroopan unionin toiminnasta tehdyn sopimuksen 314 artiklan,</w:t>
      </w:r>
    </w:p>
    <w:p w14:paraId="0DC430A6" w14:textId="77777777" w:rsidR="00986517" w:rsidRPr="000036E5" w:rsidRDefault="00986517" w:rsidP="00CA517E">
      <w:pPr>
        <w:pStyle w:val="NormalHanging12a"/>
        <w:widowControl/>
      </w:pPr>
      <w:r w:rsidRPr="000036E5">
        <w:t>–</w:t>
      </w:r>
      <w:r w:rsidRPr="000036E5">
        <w:tab/>
        <w:t>ottaa huomioon Euroopan atomienergiayhteisön perustamissopimuksen 106 A artiklan,</w:t>
      </w:r>
    </w:p>
    <w:p w14:paraId="3A8B019C" w14:textId="77777777" w:rsidR="00986517" w:rsidRPr="000036E5" w:rsidRDefault="00986517" w:rsidP="00CA517E">
      <w:pPr>
        <w:pStyle w:val="NormalHanging12a"/>
        <w:widowControl/>
      </w:pPr>
      <w:r w:rsidRPr="000036E5">
        <w:t>–</w:t>
      </w:r>
      <w:r w:rsidRPr="000036E5">
        <w:tab/>
        <w:t>ottaa huomioon unionin yleiseen talousarvioon sovellettavista varainhoitosäännöistä 23. syyskuuta 2024 annetun Euroopan parlamentin ja neuvoston asetuksen (EU, Euratom) 2024/2509</w:t>
      </w:r>
      <w:r w:rsidRPr="000036E5">
        <w:rPr>
          <w:rStyle w:val="FootnoteReference"/>
        </w:rPr>
        <w:footnoteReference w:id="1"/>
      </w:r>
      <w:r w:rsidRPr="000036E5">
        <w:t xml:space="preserve"> ja erityisesti sen 44 artiklan,</w:t>
      </w:r>
    </w:p>
    <w:p w14:paraId="01C98515" w14:textId="77777777" w:rsidR="00986517" w:rsidRPr="000036E5" w:rsidRDefault="00986517" w:rsidP="00CA517E">
      <w:pPr>
        <w:pStyle w:val="NormalHanging12a"/>
        <w:widowControl/>
      </w:pPr>
      <w:r w:rsidRPr="000036E5">
        <w:t>–</w:t>
      </w:r>
      <w:r w:rsidRPr="000036E5">
        <w:tab/>
        <w:t>ottaa huomioon 27. marraskuuta 2024 lopullisesti hyväksytyn Euroopan unionin yleisen talousarvion varainhoitovuodeksi 2025</w:t>
      </w:r>
      <w:r w:rsidRPr="000036E5">
        <w:rPr>
          <w:rStyle w:val="FootnoteReference"/>
        </w:rPr>
        <w:footnoteReference w:id="2"/>
      </w:r>
      <w:r w:rsidRPr="000036E5">
        <w:t>,</w:t>
      </w:r>
    </w:p>
    <w:p w14:paraId="2B032E14" w14:textId="77777777" w:rsidR="00986517" w:rsidRPr="000036E5" w:rsidRDefault="00986517" w:rsidP="00CA517E">
      <w:pPr>
        <w:pStyle w:val="NormalHanging12a"/>
        <w:widowControl/>
      </w:pPr>
      <w:r w:rsidRPr="000036E5">
        <w:t>–</w:t>
      </w:r>
      <w:r w:rsidRPr="000036E5">
        <w:tab/>
        <w:t>ottaa huomioon vuosia 2021–2027 koskevan monivuotisen rahoituskehyksen vahvistamisesta 17. joulukuuta 2020 annetun neuvoston asetuksen (EU, Euratom) 2020/2093</w:t>
      </w:r>
      <w:r w:rsidRPr="000036E5">
        <w:rPr>
          <w:rStyle w:val="FootnoteReference"/>
        </w:rPr>
        <w:footnoteReference w:id="3"/>
      </w:r>
      <w:r w:rsidRPr="000036E5">
        <w:t>,</w:t>
      </w:r>
    </w:p>
    <w:p w14:paraId="340B78A1" w14:textId="77777777" w:rsidR="00986517" w:rsidRPr="000036E5" w:rsidRDefault="00986517" w:rsidP="00CA517E">
      <w:pPr>
        <w:pStyle w:val="NormalHanging12a"/>
        <w:widowControl/>
      </w:pPr>
      <w:r w:rsidRPr="000036E5">
        <w:t>–</w:t>
      </w:r>
      <w:r w:rsidRPr="000036E5">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neuvoston ja komission välisen toimielinten sopimuksen</w:t>
      </w:r>
      <w:r w:rsidRPr="000036E5">
        <w:rPr>
          <w:rStyle w:val="FootnoteReference"/>
        </w:rPr>
        <w:footnoteReference w:id="4"/>
      </w:r>
      <w:r w:rsidRPr="000036E5">
        <w:t>,</w:t>
      </w:r>
    </w:p>
    <w:p w14:paraId="371F8E48" w14:textId="77777777" w:rsidR="00986517" w:rsidRPr="000036E5" w:rsidRDefault="00986517" w:rsidP="00CA517E">
      <w:pPr>
        <w:pStyle w:val="NormalHanging12a"/>
        <w:widowControl/>
      </w:pPr>
      <w:r w:rsidRPr="000036E5">
        <w:lastRenderedPageBreak/>
        <w:t>–</w:t>
      </w:r>
      <w:r w:rsidRPr="000036E5">
        <w:tab/>
        <w:t>ottaa huomioon Euroopan unionin omien varojen järjestelmästä ja päätöksen 2014/335/EU, Euratom kumoamisesta 14. joulukuuta 2020 annetun neuvoston päätöksen (EU, Euratom) 2020/2053</w:t>
      </w:r>
      <w:r w:rsidRPr="000036E5">
        <w:rPr>
          <w:rStyle w:val="FootnoteReference"/>
        </w:rPr>
        <w:footnoteReference w:id="5"/>
      </w:r>
      <w:r w:rsidRPr="000036E5">
        <w:t>,</w:t>
      </w:r>
    </w:p>
    <w:p w14:paraId="50A2392C" w14:textId="77777777" w:rsidR="00986517" w:rsidRPr="000036E5" w:rsidRDefault="00986517" w:rsidP="00CA517E">
      <w:pPr>
        <w:pStyle w:val="NormalHanging12a"/>
        <w:widowControl/>
      </w:pPr>
      <w:r w:rsidRPr="000036E5">
        <w:t>–</w:t>
      </w:r>
      <w:r w:rsidRPr="000036E5">
        <w:tab/>
        <w:t>ottaa huomioon komission 4. heinäkuuta 2025 antaman esityksen lisätalousarvioksi nro 2/2025 (COM(2025)0410),</w:t>
      </w:r>
    </w:p>
    <w:p w14:paraId="7A781EBA" w14:textId="77777777" w:rsidR="00986517" w:rsidRPr="000036E5" w:rsidRDefault="00986517" w:rsidP="00CA517E">
      <w:pPr>
        <w:pStyle w:val="NormalHanging12a"/>
        <w:widowControl/>
      </w:pPr>
      <w:r w:rsidRPr="000036E5">
        <w:t>–</w:t>
      </w:r>
      <w:r w:rsidRPr="000036E5">
        <w:tab/>
        <w:t>ottaa huomioon neuvoston 16. syyskuuta 2025 vahvistaman ja 17. syyskuuta 2025 parlamentille toimittaman kannan esitykseen lisätalousarvioksi nro 2/2025 (12353/2025 – C10-0209/2025),</w:t>
      </w:r>
    </w:p>
    <w:p w14:paraId="6D3FCC4A" w14:textId="77777777" w:rsidR="00986517" w:rsidRPr="000036E5" w:rsidRDefault="00986517" w:rsidP="00CA517E">
      <w:pPr>
        <w:pStyle w:val="NormalHanging12a"/>
        <w:widowControl/>
      </w:pPr>
      <w:r w:rsidRPr="000036E5">
        <w:t>–</w:t>
      </w:r>
      <w:r w:rsidRPr="000036E5">
        <w:tab/>
        <w:t>ottaa huomioon työjärjestyksen 96 ja 98 artiklan,</w:t>
      </w:r>
    </w:p>
    <w:p w14:paraId="438D2380" w14:textId="77777777" w:rsidR="00986517" w:rsidRPr="000036E5" w:rsidRDefault="00986517" w:rsidP="00CA517E">
      <w:pPr>
        <w:pStyle w:val="NormalHanging12a"/>
        <w:widowControl/>
      </w:pPr>
      <w:r w:rsidRPr="000036E5">
        <w:t>–</w:t>
      </w:r>
      <w:r w:rsidRPr="000036E5">
        <w:tab/>
        <w:t>ottaa huomioon budjettivaliokunnan mietinnön (A10-0165/2025),</w:t>
      </w:r>
    </w:p>
    <w:p w14:paraId="1897BFA4" w14:textId="77777777" w:rsidR="00986517" w:rsidRPr="000036E5" w:rsidRDefault="00986517" w:rsidP="00CA517E">
      <w:pPr>
        <w:pStyle w:val="NormalHanging12a"/>
        <w:widowControl/>
      </w:pPr>
      <w:r w:rsidRPr="000036E5">
        <w:t>A.</w:t>
      </w:r>
      <w:r w:rsidRPr="000036E5">
        <w:tab/>
        <w:t>ottaa huomioon, että lisätalousarvioesityksen nro 2/2025 tarkoituksena on tarkistaa talousarvion tulopuolta viimeisimmän kehityksen huomioon ottamiseksi ja lisäksi mukauttaa talousarvion menopuolta joidenkin menoerien osalta;</w:t>
      </w:r>
    </w:p>
    <w:p w14:paraId="109FBDC3" w14:textId="77777777" w:rsidR="00986517" w:rsidRPr="000036E5" w:rsidRDefault="00986517" w:rsidP="00CA517E">
      <w:pPr>
        <w:pStyle w:val="NormalHanging12a"/>
        <w:widowControl/>
      </w:pPr>
      <w:r w:rsidRPr="000036E5">
        <w:t>B.</w:t>
      </w:r>
      <w:r w:rsidRPr="000036E5">
        <w:tab/>
        <w:t>ottaa huomioon, että lisätalousarvioesitykseen nro 2/2025 sisältyy tarkistuksia omia varoja koskeviin ennusteisiin ja että ne koskevat tullimaksujen määrää, joka on 1 prosentin pienempi kuin toukokuun 2024 ennusteessa, rajattua alv-määräytymisperustetta, joka on 2,4 prosenttia pienempi kuin toukokuun 2024 ennusteessa, kierrättämättömän muovipakkausjätteen määrää, joka on 3,5 prosenttia pienempi kuin toukokuun 2024 ennusteessa, sekä EU:n yhteenlaskettua BKTL</w:t>
      </w:r>
      <w:r w:rsidRPr="000036E5">
        <w:noBreakHyphen/>
        <w:t>määräytymisperustetta, joka on 0,5 prosenttia suurempi kuin toukokuun 2024 ennusteessa;</w:t>
      </w:r>
    </w:p>
    <w:p w14:paraId="5B3FAABE" w14:textId="77777777" w:rsidR="00986517" w:rsidRPr="000036E5" w:rsidRDefault="00986517" w:rsidP="00CA517E">
      <w:pPr>
        <w:pStyle w:val="NormalHanging12a"/>
        <w:widowControl/>
      </w:pPr>
      <w:r w:rsidRPr="000036E5">
        <w:t>C.</w:t>
      </w:r>
      <w:r w:rsidRPr="000036E5">
        <w:tab/>
        <w:t>ottaa huomioon, että lisätalousarvioesityksessä nro 2/2025 myös tarkistetaan erosopimuksen mukaista Yhdistyneen kuningaskunnan vuoden 2025 rahoitusosuutta, joka on 1,53 miljardia euroa, eli määrässä on maltillinen 25 miljoonan euron vähennys verrattuna vuoden 2025 talousarvioon sisältyvään arvioon;</w:t>
      </w:r>
    </w:p>
    <w:p w14:paraId="3486311D" w14:textId="77777777" w:rsidR="00986517" w:rsidRPr="000036E5" w:rsidRDefault="00986517" w:rsidP="00CA517E">
      <w:pPr>
        <w:pStyle w:val="NormalHanging12a"/>
        <w:widowControl/>
      </w:pPr>
      <w:r w:rsidRPr="000036E5">
        <w:t>D.</w:t>
      </w:r>
      <w:r w:rsidRPr="000036E5">
        <w:tab/>
        <w:t>ottaa huomioon, että lisäksi lisätalousarvioesityksessä nro 2/2025 otetaan huomioon toukokuun 2025 loppuun saakka maksetut sakot, sopimusrikkomuksista määrätyt uhkasakot ja negatiiviset tuotot, mikä tarkoittaa 291 miljoonan euron lisäystä verrattuna vuoden 2025 talousarvioon sisältyvään sakkojen ja uhkasakkojen ennusteeseen;</w:t>
      </w:r>
    </w:p>
    <w:p w14:paraId="1B16E334" w14:textId="77777777" w:rsidR="00986517" w:rsidRPr="000036E5" w:rsidRDefault="00986517" w:rsidP="00CA517E">
      <w:pPr>
        <w:pStyle w:val="NormalHanging12a"/>
        <w:widowControl/>
      </w:pPr>
      <w:r w:rsidRPr="000036E5">
        <w:t>E.</w:t>
      </w:r>
      <w:r w:rsidRPr="000036E5">
        <w:tab/>
        <w:t>ottaa huomioon, että lisätalousarvioesityksessä nro 2/2025 ehdotetaan menopuolen osalta maksusitoumus- ja maksumäärärahoihin tarkistuksia, joista merkittävin on 3,5 miljardin euron lisäys Euroopan maaseudun kehittämisen maatalousrahaston maksumäärärahoihin;</w:t>
      </w:r>
    </w:p>
    <w:p w14:paraId="5817082C" w14:textId="77777777" w:rsidR="00986517" w:rsidRPr="000036E5" w:rsidRDefault="00986517" w:rsidP="00CA517E">
      <w:pPr>
        <w:pStyle w:val="NormalHanging12a"/>
        <w:widowControl/>
      </w:pPr>
      <w:r w:rsidRPr="000036E5">
        <w:t>1.</w:t>
      </w:r>
      <w:r w:rsidRPr="000036E5">
        <w:tab/>
        <w:t>panee merkille komission esityksen lisätalousarvioksi nro 2/2025;</w:t>
      </w:r>
    </w:p>
    <w:p w14:paraId="06A1685D" w14:textId="77777777" w:rsidR="00986517" w:rsidRPr="000036E5" w:rsidRDefault="00986517" w:rsidP="00CA517E">
      <w:pPr>
        <w:pStyle w:val="NormalHanging12a"/>
        <w:widowControl/>
      </w:pPr>
      <w:r w:rsidRPr="000036E5">
        <w:t>2.</w:t>
      </w:r>
      <w:r w:rsidRPr="000036E5">
        <w:tab/>
        <w:t>panee merkille, että muiden kuin BKTL-perusteisten omien varojen määrän väheneminen ja menopuolen ylimääräiset maksutarpeet lisäävät BKTL-maksuosuuksien kokonaistarvetta 4,3 miljardilla eurolla; toteaa, että tämä merkitsee yhdenmukaisen BKTL-perusteen muuttamista 0,527 prosentista (lisätalousarvioesitys nro 1/2025) 0,547 prosenttiin (lisätalousarvioesitys nro 2/2025);</w:t>
      </w:r>
    </w:p>
    <w:p w14:paraId="792D6C3B" w14:textId="77777777" w:rsidR="00986517" w:rsidRPr="000036E5" w:rsidRDefault="00986517" w:rsidP="00CA517E">
      <w:pPr>
        <w:pStyle w:val="NormalHanging12a"/>
        <w:widowControl/>
      </w:pPr>
      <w:r w:rsidRPr="000036E5">
        <w:lastRenderedPageBreak/>
        <w:t>3.</w:t>
      </w:r>
      <w:r w:rsidRPr="000036E5">
        <w:tab/>
        <w:t xml:space="preserve">korostaa, että lisätalousarvioesityksen nro 2/2025 perusteella viiden edunsaajajäsenvaltion BKTL-maksuosuuksien kiinteämääräisten vähennysten määrä on noin 9,2 miljardia euroa (brutto); korostaa, että nämä alennukset ovat inflaatiosidonnaisia ja että ne ovat siksi kasvaneet enemmän kuin monivuotisen rahoituskehyksen enimmäismäärät, joita mukautetaan vuosittain kahden prosentin </w:t>
      </w:r>
      <w:proofErr w:type="spellStart"/>
      <w:r w:rsidRPr="000036E5">
        <w:t>deflaattorilla</w:t>
      </w:r>
      <w:proofErr w:type="spellEnd"/>
      <w:r w:rsidRPr="000036E5">
        <w:t>; korostaa, että unionin talousarviota on venytetty viime vuosina merkittävästi, jotta on kyetty vastaamaan erilaisiin kriiseihin; painottaa, että tämä alennuksiin liittyvä poikkeama lisää muiden jäsenvaltioiden taakkaa;</w:t>
      </w:r>
    </w:p>
    <w:p w14:paraId="5E9E1954" w14:textId="77777777" w:rsidR="00986517" w:rsidRPr="000036E5" w:rsidRDefault="00986517" w:rsidP="00CA517E">
      <w:pPr>
        <w:pStyle w:val="NormalHanging12a"/>
        <w:widowControl/>
      </w:pPr>
      <w:r w:rsidRPr="000036E5">
        <w:t>4.</w:t>
      </w:r>
      <w:r w:rsidRPr="000036E5">
        <w:tab/>
        <w:t xml:space="preserve">suhtautuu myönteisesti komission uusiin pyrkimyksiin esittää enemmän vaihtoehtoja unionin talousarvion uusiksi tulolähteiksi; panee tässä yhteydessä merkille 16. heinäkuuta 2025 annetun komission ehdotuksen neuvoston päätökseksi Euroopan unionin omien varojen järjestelmästä; katsoo, että uudet omat varat on hyväksyttävä nopeasti, jotta talousarviota varten käytettävissä olevia varoja voidaan lisätä; painottaa, että uusien omien varojen on oltava oikeudenmukaisia ja että ne ovat olennaisen tärkeitä paitsi Next </w:t>
      </w:r>
      <w:proofErr w:type="spellStart"/>
      <w:r w:rsidRPr="000036E5">
        <w:t>Generation</w:t>
      </w:r>
      <w:proofErr w:type="spellEnd"/>
      <w:r w:rsidRPr="000036E5">
        <w:t xml:space="preserve"> EU -välineeseen liittyvän lainan takaisinmaksun mahdollistamiseksi myös sen varmistamiseksi, että unionilla on valmiudet kattaa kasvaneet menotarpeensa; palauttaa tässä yhteydessä mieliin pitkäaikaisen kantansa, jonka mukaan sakoista ja uhkasakoista saatavat satunnaistulot tai niitä vastaavat määrät olisi käytettävä unionin talousarvion lisätuloina kriisitoimia tai odottamattomia tarpeita varten eivätkä ne saisi johtaa siihen, että BKTL-maksuosuuksia supistetaan vastaavasti; korostaa, että nykyisessä monivuotisessa rahoituskehyksessä tällaiset määrät annetaan takaisin jäsenvaltioille;</w:t>
      </w:r>
    </w:p>
    <w:p w14:paraId="723E9C21" w14:textId="77777777" w:rsidR="00986517" w:rsidRPr="000036E5" w:rsidRDefault="00986517" w:rsidP="00CA517E">
      <w:pPr>
        <w:pStyle w:val="NormalHanging12a"/>
        <w:widowControl/>
      </w:pPr>
      <w:r w:rsidRPr="000036E5">
        <w:t>5.</w:t>
      </w:r>
      <w:r w:rsidRPr="000036E5">
        <w:tab/>
        <w:t>painottaa, että viimeaikaisista kriiseistä – pandemiasta, energiahäiriöistä ja Ukrainan sodasta – saadut kokemukset osoittavat, että seuraavan monivuotisen rahoituskehyksen joustavuutta on pohdittava perusteellisesti; toistaa kantansa, jonka mukaan tulevaa joustovälinettä olisi tuettava useista lisärahoituslähteistä, kuten edellisen vuoden vuotuisesta ylijäämästä, sakoista ja takaisin saaduista varoista; panee merkille monivuotista rahoituskehystä koskevan asetusehdotuksen asiaankuuluvat säännökset, joissa komissio ehdottaa tiettyjen määrien lisäämistä joustovälineeseen parlamentin useasti esittämien pyyntöjen mukaisesti; muistuttaa kuitenkin, että joustavuutta ei pitäisi luoda avoimuuden kustannuksella;</w:t>
      </w:r>
    </w:p>
    <w:p w14:paraId="66F89E6A" w14:textId="3F951A7C" w:rsidR="00986517" w:rsidRPr="000036E5" w:rsidRDefault="00986517" w:rsidP="00CA517E">
      <w:pPr>
        <w:pStyle w:val="NormalHanging12a"/>
        <w:widowControl/>
      </w:pPr>
      <w:r w:rsidRPr="000036E5">
        <w:t>6.</w:t>
      </w:r>
      <w:r w:rsidRPr="000036E5">
        <w:tab/>
        <w:t>pitää myönteisenä, että maaseuturahaston maksumäärärahoja on mukautettu ylöspäin, mikä osoittaa, että vuosien 2023–2027 YMP:n strategiasuunnitelmien ja vuosien 2014–2020 ohjelmien toimenpiteiden täytäntöönpano on nopeutumassa, mikä kompensoi aiempien varainhoitovuosien viivästyksiä;</w:t>
      </w:r>
    </w:p>
    <w:p w14:paraId="6AE22F3B" w14:textId="77777777" w:rsidR="00986517" w:rsidRPr="000036E5" w:rsidRDefault="00986517" w:rsidP="00CA517E">
      <w:pPr>
        <w:pStyle w:val="NormalHanging12a"/>
        <w:widowControl/>
      </w:pPr>
      <w:r w:rsidRPr="000036E5">
        <w:t>7.</w:t>
      </w:r>
      <w:r w:rsidRPr="000036E5">
        <w:tab/>
        <w:t>on tyytyväinen hiilirajamekanismin (CBAM) alalla käynnissä oleviin parannuksiin, mutta kyseenalaistaa sen, miksi CBAM-asetuksen yksinkertaistaminen lisäisi tarpeita noin 8 miljoonalla eurolla sen sijaan, että ne vähenisivät tehokkuushyötyjen ansiosta;</w:t>
      </w:r>
    </w:p>
    <w:p w14:paraId="023AEBC4" w14:textId="77777777" w:rsidR="00986517" w:rsidRPr="000036E5" w:rsidRDefault="00986517" w:rsidP="00CA517E">
      <w:pPr>
        <w:pStyle w:val="NormalHanging12a"/>
        <w:widowControl/>
      </w:pPr>
      <w:r w:rsidRPr="000036E5">
        <w:t>8.</w:t>
      </w:r>
      <w:r w:rsidRPr="000036E5">
        <w:tab/>
        <w:t xml:space="preserve">pitää lisäksi kyseenalaisena, että keskitettyjä tullijärjestelmiä koskevat lisätarpeet otsakkeessa 1 ja hiilirajamekanismia koskevat lisätarpeet otsakkeessa 3 kompensoidaan vähentämällä vastaavasti tullitarkastuslaitteiden rahoitusvälineen määrärahoja otsakkeessa 4; pitää valitettavana, että nykyinen talousarviotilanne on johtanut siihen, että komissio on kohdentanut merkittävästi varoja uudelleen eri otsakkeissa, ja palauttaa mieliin pitkäaikaisen kantansa, jonka mukaan uusiin poliittisiin painopisteisiin, tehtäviin tai tarpeisiin olisi liitettävä uusia varoja; korostaa painokkaasti, että varojen kohdentaminen toistuvasti uudelleen ei ole kestävä tapa rahoittaa unionin painopisteitä, </w:t>
      </w:r>
      <w:r w:rsidRPr="000036E5">
        <w:lastRenderedPageBreak/>
        <w:t>koska se on haitaksi investoinneille ja vaarantaa sovittujen toimintapoliittisten tavoitteiden saavuttamisen;</w:t>
      </w:r>
    </w:p>
    <w:p w14:paraId="29735F19" w14:textId="77777777" w:rsidR="00986517" w:rsidRPr="000036E5" w:rsidRDefault="00986517" w:rsidP="00CA517E">
      <w:pPr>
        <w:pStyle w:val="NormalHanging12a"/>
        <w:widowControl/>
      </w:pPr>
      <w:r w:rsidRPr="000036E5">
        <w:t>9.</w:t>
      </w:r>
      <w:r w:rsidRPr="000036E5">
        <w:tab/>
        <w:t>korostaa ja pitää myönteisenä, että jotkin EU:n rahanpesuntorjuntaviranomaisen henkilöstötaulukkoon tehdyt muutokset mahdollistavat sen, että virasto voi hoitaa tehtävänsä oikea-aikaisesti ja tehokkaasti; muistuttaa, että tällä tärkeällä virastolla on keskeinen rooli veronmaksajien rahojen suojaamisessa ja että Euroopan parlamentti on tukenut sitä voimakkaasti;</w:t>
      </w:r>
    </w:p>
    <w:p w14:paraId="4A1411F5" w14:textId="77777777" w:rsidR="00986517" w:rsidRPr="000036E5" w:rsidRDefault="00986517" w:rsidP="00CA517E">
      <w:pPr>
        <w:pStyle w:val="NormalHanging12a"/>
        <w:widowControl/>
      </w:pPr>
      <w:r w:rsidRPr="000036E5">
        <w:t>10.</w:t>
      </w:r>
      <w:r w:rsidRPr="000036E5">
        <w:tab/>
        <w:t>suhtautuu myönteisesti Bulgarian edistymiseen euron käyttöönotossa ja antaa täyden tukensa lisätuelle, jolla tuetaan uuteen valuuttaan siirtymistä asianmukaisilla ja kohdennetuilla viestintätoimilla; toteaa, että koska alaotsakkeessa 2 b ei ole jäljellä kohdentamatonta liikkumavaraa, joustovälineestä on otettava käyttöön varoja tätä tarkoitusta varten;</w:t>
      </w:r>
    </w:p>
    <w:p w14:paraId="7F01C69B" w14:textId="77777777" w:rsidR="00986517" w:rsidRPr="000036E5" w:rsidRDefault="00986517" w:rsidP="00CA517E">
      <w:pPr>
        <w:pStyle w:val="NormalHanging12a"/>
        <w:widowControl/>
      </w:pPr>
      <w:r w:rsidRPr="000036E5">
        <w:t>11.</w:t>
      </w:r>
      <w:r w:rsidRPr="000036E5">
        <w:tab/>
        <w:t>hyväksyy neuvoston kannan esitykseen lisätalousarvioksi nro 2/2025;</w:t>
      </w:r>
    </w:p>
    <w:p w14:paraId="022D2A03" w14:textId="77777777" w:rsidR="00986517" w:rsidRPr="000036E5" w:rsidRDefault="00986517" w:rsidP="00CA517E">
      <w:pPr>
        <w:pStyle w:val="NormalHanging12a"/>
        <w:widowControl/>
      </w:pPr>
      <w:r w:rsidRPr="000036E5">
        <w:t>12.</w:t>
      </w:r>
      <w:r w:rsidRPr="000036E5">
        <w:tab/>
        <w:t xml:space="preserve">kehottaa puhemiestä toteamaan lisätalousarvion nro 2/2025 lopullisesti hyväksytyksi ja huolehtimaan sen julkaisemisesta </w:t>
      </w:r>
      <w:r w:rsidRPr="000036E5">
        <w:rPr>
          <w:i/>
          <w:iCs/>
        </w:rPr>
        <w:t>Euroopan unionin virallisessa lehdessä</w:t>
      </w:r>
      <w:r w:rsidRPr="000036E5">
        <w:t>;</w:t>
      </w:r>
    </w:p>
    <w:p w14:paraId="19B178C1" w14:textId="6939AEC2" w:rsidR="000036E5" w:rsidRPr="000036E5" w:rsidRDefault="00986517" w:rsidP="00CA517E">
      <w:pPr>
        <w:pStyle w:val="NormalHanging12a"/>
        <w:widowControl/>
      </w:pPr>
      <w:r w:rsidRPr="000036E5">
        <w:t>13.</w:t>
      </w:r>
      <w:r w:rsidRPr="000036E5">
        <w:tab/>
        <w:t>kehottaa puhemiestä välittämään tämän päätöslauselman neuvostolle</w:t>
      </w:r>
      <w:r w:rsidR="007F1334">
        <w:t>,</w:t>
      </w:r>
      <w:r w:rsidRPr="000036E5">
        <w:t xml:space="preserve"> komissiolle, asianomaisille muille toimielimille ja elimille sekä kansallisille parlamenteille.</w:t>
      </w:r>
    </w:p>
    <w:p w14:paraId="24198583" w14:textId="1FBD05C1" w:rsidR="00E365E1" w:rsidRPr="000036E5" w:rsidRDefault="00E365E1" w:rsidP="00CA517E">
      <w:pPr>
        <w:widowControl/>
        <w:spacing w:after="240"/>
        <w:ind w:left="567" w:hanging="567"/>
      </w:pPr>
    </w:p>
    <w:sectPr w:rsidR="00E365E1" w:rsidRPr="000036E5" w:rsidSect="000036E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2149B" w14:textId="77777777" w:rsidR="00626396" w:rsidRPr="000036E5" w:rsidRDefault="00626396">
      <w:r w:rsidRPr="000036E5">
        <w:separator/>
      </w:r>
    </w:p>
  </w:endnote>
  <w:endnote w:type="continuationSeparator" w:id="0">
    <w:p w14:paraId="7F985B4A" w14:textId="77777777" w:rsidR="00626396" w:rsidRPr="000036E5" w:rsidRDefault="00626396">
      <w:r w:rsidRPr="000036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6D6C6" w14:textId="77777777" w:rsidR="00626396" w:rsidRPr="000036E5" w:rsidRDefault="00626396">
      <w:r w:rsidRPr="000036E5">
        <w:separator/>
      </w:r>
    </w:p>
  </w:footnote>
  <w:footnote w:type="continuationSeparator" w:id="0">
    <w:p w14:paraId="4410425B" w14:textId="77777777" w:rsidR="00626396" w:rsidRPr="000036E5" w:rsidRDefault="00626396">
      <w:r w:rsidRPr="000036E5">
        <w:continuationSeparator/>
      </w:r>
    </w:p>
  </w:footnote>
  <w:footnote w:id="1">
    <w:p w14:paraId="60EB231B" w14:textId="08F7799C" w:rsidR="00986517" w:rsidRPr="000036E5" w:rsidRDefault="00986517" w:rsidP="000036E5">
      <w:pPr>
        <w:pStyle w:val="FootnoteText"/>
        <w:ind w:left="567" w:hanging="567"/>
        <w:rPr>
          <w:sz w:val="24"/>
          <w:lang w:val="fi-FI"/>
        </w:rPr>
      </w:pPr>
      <w:r w:rsidRPr="000036E5">
        <w:rPr>
          <w:rStyle w:val="FootnoteReference"/>
          <w:sz w:val="24"/>
          <w:lang w:val="fi-FI"/>
        </w:rPr>
        <w:footnoteRef/>
      </w:r>
      <w:r w:rsidR="000036E5" w:rsidRPr="000036E5">
        <w:rPr>
          <w:sz w:val="24"/>
          <w:lang w:val="fi-FI"/>
        </w:rPr>
        <w:t xml:space="preserve"> </w:t>
      </w:r>
      <w:r w:rsidR="000036E5" w:rsidRPr="000036E5">
        <w:rPr>
          <w:sz w:val="24"/>
          <w:lang w:val="fi-FI"/>
        </w:rPr>
        <w:tab/>
      </w:r>
      <w:r w:rsidRPr="000036E5">
        <w:rPr>
          <w:sz w:val="24"/>
          <w:lang w:val="fi-FI"/>
        </w:rPr>
        <w:t xml:space="preserve">EUVL L, 2024/2509, 26.9.2024, ELI: </w:t>
      </w:r>
      <w:hyperlink r:id="rId1" w:history="1">
        <w:r w:rsidRPr="000036E5">
          <w:rPr>
            <w:rStyle w:val="Hyperlink"/>
            <w:sz w:val="24"/>
            <w:lang w:val="fi-FI"/>
          </w:rPr>
          <w:t>http://data.europa.eu/eli/reg/2024/2509/oj</w:t>
        </w:r>
      </w:hyperlink>
      <w:r w:rsidRPr="000036E5">
        <w:rPr>
          <w:sz w:val="24"/>
          <w:lang w:val="fi-FI"/>
        </w:rPr>
        <w:t>.</w:t>
      </w:r>
    </w:p>
  </w:footnote>
  <w:footnote w:id="2">
    <w:p w14:paraId="37AEB287" w14:textId="5AEDA444" w:rsidR="00986517" w:rsidRPr="000036E5" w:rsidRDefault="00986517" w:rsidP="000036E5">
      <w:pPr>
        <w:pStyle w:val="FootnoteText"/>
        <w:ind w:left="567" w:hanging="567"/>
        <w:rPr>
          <w:rStyle w:val="Hyperlink"/>
          <w:sz w:val="24"/>
          <w:lang w:val="fi-FI"/>
        </w:rPr>
      </w:pPr>
      <w:r w:rsidRPr="000036E5">
        <w:rPr>
          <w:rStyle w:val="FootnoteReference"/>
          <w:sz w:val="24"/>
          <w:lang w:val="fi-FI"/>
        </w:rPr>
        <w:footnoteRef/>
      </w:r>
      <w:r w:rsidR="000036E5" w:rsidRPr="000036E5">
        <w:rPr>
          <w:sz w:val="24"/>
          <w:lang w:val="fi-FI"/>
        </w:rPr>
        <w:t xml:space="preserve"> </w:t>
      </w:r>
      <w:r w:rsidR="000036E5" w:rsidRPr="000036E5">
        <w:rPr>
          <w:sz w:val="24"/>
          <w:lang w:val="fi-FI"/>
        </w:rPr>
        <w:tab/>
      </w:r>
      <w:r w:rsidRPr="000036E5">
        <w:rPr>
          <w:sz w:val="24"/>
          <w:lang w:val="fi-FI"/>
        </w:rPr>
        <w:t xml:space="preserve">EUVL L, 2025/31, 27.2.2025, ELI: </w:t>
      </w:r>
      <w:r w:rsidR="00B64266">
        <w:fldChar w:fldCharType="begin"/>
      </w:r>
      <w:r w:rsidR="00B64266" w:rsidRPr="00B64266">
        <w:rPr>
          <w:lang w:val="fi-FI"/>
        </w:rPr>
        <w:instrText>HYPERLINK "http://data.europa.eu/eli/budget/2025/31/oj%20"</w:instrText>
      </w:r>
      <w:r w:rsidR="00B64266">
        <w:fldChar w:fldCharType="separate"/>
      </w:r>
      <w:r w:rsidRPr="000036E5">
        <w:rPr>
          <w:rStyle w:val="Hyperlink"/>
          <w:sz w:val="24"/>
          <w:lang w:val="fi-FI"/>
        </w:rPr>
        <w:t>http://data.europa.eu/eli/budget/2025/31/oj</w:t>
      </w:r>
      <w:r w:rsidR="00B64266">
        <w:rPr>
          <w:rStyle w:val="Hyperlink"/>
          <w:sz w:val="24"/>
          <w:lang w:val="fi-FI"/>
        </w:rPr>
        <w:fldChar w:fldCharType="end"/>
      </w:r>
      <w:r w:rsidRPr="000036E5">
        <w:rPr>
          <w:rStyle w:val="Hyperlink"/>
          <w:sz w:val="24"/>
          <w:lang w:val="fi-FI"/>
        </w:rPr>
        <w:t>.</w:t>
      </w:r>
    </w:p>
  </w:footnote>
  <w:footnote w:id="3">
    <w:p w14:paraId="4403B837" w14:textId="1021D21F" w:rsidR="00986517" w:rsidRPr="000036E5" w:rsidRDefault="00986517" w:rsidP="000036E5">
      <w:pPr>
        <w:pStyle w:val="FootnoteText"/>
        <w:ind w:left="567" w:hanging="567"/>
        <w:rPr>
          <w:rStyle w:val="Hyperlink"/>
          <w:sz w:val="24"/>
          <w:lang w:val="fi-FI"/>
        </w:rPr>
      </w:pPr>
      <w:r w:rsidRPr="000036E5">
        <w:rPr>
          <w:rStyle w:val="FootnoteReference"/>
          <w:sz w:val="24"/>
          <w:lang w:val="fi-FI"/>
        </w:rPr>
        <w:footnoteRef/>
      </w:r>
      <w:r w:rsidR="000036E5" w:rsidRPr="000036E5">
        <w:rPr>
          <w:sz w:val="24"/>
          <w:lang w:val="fi-FI"/>
        </w:rPr>
        <w:t xml:space="preserve"> </w:t>
      </w:r>
      <w:r w:rsidR="000036E5" w:rsidRPr="000036E5">
        <w:rPr>
          <w:sz w:val="24"/>
          <w:lang w:val="fi-FI"/>
        </w:rPr>
        <w:tab/>
      </w:r>
      <w:r w:rsidRPr="000036E5">
        <w:rPr>
          <w:sz w:val="24"/>
          <w:lang w:val="fi-FI"/>
        </w:rPr>
        <w:t xml:space="preserve">EUVL L 433 I, 22.12.2020, s. 11, ELI: </w:t>
      </w:r>
      <w:r w:rsidR="00B64266">
        <w:fldChar w:fldCharType="begin"/>
      </w:r>
      <w:r w:rsidR="00B64266" w:rsidRPr="00B64266">
        <w:rPr>
          <w:lang w:val="fi-FI"/>
        </w:rPr>
        <w:instrText>HYPERLINK "http://data.europa.eu/eli/reg/2020/433/oj"</w:instrText>
      </w:r>
      <w:r w:rsidR="00B64266">
        <w:fldChar w:fldCharType="separate"/>
      </w:r>
      <w:r w:rsidRPr="000036E5">
        <w:rPr>
          <w:rStyle w:val="Hyperlink"/>
          <w:sz w:val="24"/>
          <w:lang w:val="fi-FI"/>
        </w:rPr>
        <w:t>http://data.europa.eu/eli/reg/2020/433/oj</w:t>
      </w:r>
      <w:r w:rsidR="00B64266">
        <w:rPr>
          <w:rStyle w:val="Hyperlink"/>
          <w:sz w:val="24"/>
          <w:lang w:val="fi-FI"/>
        </w:rPr>
        <w:fldChar w:fldCharType="end"/>
      </w:r>
      <w:r w:rsidRPr="000036E5">
        <w:rPr>
          <w:rStyle w:val="Hyperlink"/>
          <w:sz w:val="24"/>
          <w:lang w:val="fi-FI"/>
        </w:rPr>
        <w:t>.</w:t>
      </w:r>
    </w:p>
  </w:footnote>
  <w:footnote w:id="4">
    <w:p w14:paraId="5DBEE148" w14:textId="53B682FD" w:rsidR="00986517" w:rsidRPr="000036E5" w:rsidRDefault="00986517" w:rsidP="000036E5">
      <w:pPr>
        <w:pStyle w:val="FootnoteText"/>
        <w:ind w:left="567" w:hanging="567"/>
        <w:rPr>
          <w:sz w:val="24"/>
          <w:lang w:val="fi-FI"/>
        </w:rPr>
      </w:pPr>
      <w:r w:rsidRPr="000036E5">
        <w:rPr>
          <w:rStyle w:val="FootnoteReference"/>
          <w:sz w:val="24"/>
          <w:lang w:val="fi-FI"/>
        </w:rPr>
        <w:footnoteRef/>
      </w:r>
      <w:r w:rsidR="000036E5" w:rsidRPr="000036E5">
        <w:rPr>
          <w:sz w:val="24"/>
          <w:lang w:val="fi-FI"/>
        </w:rPr>
        <w:t xml:space="preserve"> </w:t>
      </w:r>
      <w:r w:rsidR="000036E5" w:rsidRPr="000036E5">
        <w:rPr>
          <w:sz w:val="24"/>
          <w:lang w:val="fi-FI"/>
        </w:rPr>
        <w:tab/>
      </w:r>
      <w:r w:rsidRPr="000036E5">
        <w:rPr>
          <w:sz w:val="24"/>
          <w:lang w:val="fi-FI"/>
        </w:rPr>
        <w:t xml:space="preserve">EUVL L 433 I, 22.12.2020, s. 28, ELI: </w:t>
      </w:r>
      <w:r w:rsidR="00B64266">
        <w:fldChar w:fldCharType="begin"/>
      </w:r>
      <w:r w:rsidR="00B64266" w:rsidRPr="00B64266">
        <w:rPr>
          <w:lang w:val="fi-FI"/>
        </w:rPr>
        <w:instrText>HYPERLINK "http://data.europa.eu/eli/agree_interinstit/2020/1222/oj"</w:instrText>
      </w:r>
      <w:r w:rsidR="00B64266">
        <w:fldChar w:fldCharType="separate"/>
      </w:r>
      <w:r w:rsidRPr="000036E5">
        <w:rPr>
          <w:rStyle w:val="Hyperlink"/>
          <w:sz w:val="24"/>
          <w:lang w:val="fi-FI"/>
        </w:rPr>
        <w:t>http://data.europa.eu/eli/agree_interinstit/2020/1222/oj</w:t>
      </w:r>
      <w:r w:rsidR="00B64266">
        <w:rPr>
          <w:rStyle w:val="Hyperlink"/>
          <w:sz w:val="24"/>
          <w:lang w:val="fi-FI"/>
        </w:rPr>
        <w:fldChar w:fldCharType="end"/>
      </w:r>
      <w:r w:rsidRPr="000036E5">
        <w:rPr>
          <w:rStyle w:val="Hyperlink"/>
          <w:sz w:val="24"/>
          <w:lang w:val="fi-FI"/>
        </w:rPr>
        <w:t>.</w:t>
      </w:r>
    </w:p>
  </w:footnote>
  <w:footnote w:id="5">
    <w:p w14:paraId="7ED5760C" w14:textId="7B0389BB" w:rsidR="00986517" w:rsidRPr="000036E5" w:rsidRDefault="00986517" w:rsidP="000036E5">
      <w:pPr>
        <w:pStyle w:val="FootnoteText"/>
        <w:ind w:left="567" w:hanging="567"/>
        <w:rPr>
          <w:sz w:val="24"/>
          <w:lang w:val="fi-FI"/>
        </w:rPr>
      </w:pPr>
      <w:r w:rsidRPr="000036E5">
        <w:rPr>
          <w:rStyle w:val="FootnoteReference"/>
          <w:sz w:val="24"/>
          <w:lang w:val="fi-FI"/>
        </w:rPr>
        <w:footnoteRef/>
      </w:r>
      <w:r w:rsidR="000036E5" w:rsidRPr="000036E5">
        <w:rPr>
          <w:sz w:val="24"/>
          <w:lang w:val="fi-FI"/>
        </w:rPr>
        <w:t xml:space="preserve"> </w:t>
      </w:r>
      <w:r w:rsidR="000036E5" w:rsidRPr="000036E5">
        <w:rPr>
          <w:sz w:val="24"/>
          <w:lang w:val="fi-FI"/>
        </w:rPr>
        <w:tab/>
      </w:r>
      <w:r w:rsidRPr="000036E5">
        <w:rPr>
          <w:sz w:val="24"/>
          <w:lang w:val="fi-FI"/>
        </w:rPr>
        <w:t xml:space="preserve">EUVL L 424, 15.12.2020, s. 1, ELI: </w:t>
      </w:r>
      <w:r w:rsidR="00B64266">
        <w:fldChar w:fldCharType="begin"/>
      </w:r>
      <w:r w:rsidR="00B64266" w:rsidRPr="00B64266">
        <w:rPr>
          <w:lang w:val="fi-FI"/>
        </w:rPr>
        <w:instrText>HYPERLINK "http://data.europa.eu/eli/dec/2020/2053/oj"</w:instrText>
      </w:r>
      <w:r w:rsidR="00B64266">
        <w:fldChar w:fldCharType="separate"/>
      </w:r>
      <w:r w:rsidRPr="000036E5">
        <w:rPr>
          <w:rStyle w:val="Hyperlink"/>
          <w:sz w:val="24"/>
          <w:lang w:val="fi-FI"/>
        </w:rPr>
        <w:t>http://data.europa.eu/eli/dec/2020/2053/oj</w:t>
      </w:r>
      <w:r w:rsidR="00B64266">
        <w:rPr>
          <w:rStyle w:val="Hyperlink"/>
          <w:sz w:val="24"/>
          <w:lang w:val="fi-FI"/>
        </w:rPr>
        <w:fldChar w:fldCharType="end"/>
      </w:r>
      <w:r w:rsidRPr="000036E5">
        <w:rPr>
          <w:rStyle w:val="Hyperlink"/>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470339">
    <w:abstractNumId w:val="9"/>
  </w:num>
  <w:num w:numId="2" w16cid:durableId="690763322">
    <w:abstractNumId w:val="9"/>
  </w:num>
  <w:num w:numId="3" w16cid:durableId="578368423">
    <w:abstractNumId w:val="7"/>
  </w:num>
  <w:num w:numId="4" w16cid:durableId="862596943">
    <w:abstractNumId w:val="7"/>
  </w:num>
  <w:num w:numId="5" w16cid:durableId="486408204">
    <w:abstractNumId w:val="6"/>
  </w:num>
  <w:num w:numId="6" w16cid:durableId="1335767310">
    <w:abstractNumId w:val="6"/>
  </w:num>
  <w:num w:numId="7" w16cid:durableId="2092384679">
    <w:abstractNumId w:val="5"/>
  </w:num>
  <w:num w:numId="8" w16cid:durableId="995111774">
    <w:abstractNumId w:val="5"/>
  </w:num>
  <w:num w:numId="9" w16cid:durableId="340157729">
    <w:abstractNumId w:val="4"/>
  </w:num>
  <w:num w:numId="10" w16cid:durableId="1404528362">
    <w:abstractNumId w:val="4"/>
  </w:num>
  <w:num w:numId="11" w16cid:durableId="1751343248">
    <w:abstractNumId w:val="8"/>
  </w:num>
  <w:num w:numId="12" w16cid:durableId="289944700">
    <w:abstractNumId w:val="8"/>
  </w:num>
  <w:num w:numId="13" w16cid:durableId="1131897675">
    <w:abstractNumId w:val="3"/>
  </w:num>
  <w:num w:numId="14" w16cid:durableId="1360083559">
    <w:abstractNumId w:val="3"/>
  </w:num>
  <w:num w:numId="15" w16cid:durableId="1534077051">
    <w:abstractNumId w:val="2"/>
  </w:num>
  <w:num w:numId="16" w16cid:durableId="662197654">
    <w:abstractNumId w:val="2"/>
  </w:num>
  <w:num w:numId="17" w16cid:durableId="559288037">
    <w:abstractNumId w:val="1"/>
  </w:num>
  <w:num w:numId="18" w16cid:durableId="1864854392">
    <w:abstractNumId w:val="1"/>
  </w:num>
  <w:num w:numId="19" w16cid:durableId="2056080424">
    <w:abstractNumId w:val="0"/>
  </w:num>
  <w:num w:numId="20" w16cid:durableId="131145653">
    <w:abstractNumId w:val="0"/>
  </w:num>
  <w:num w:numId="21" w16cid:durableId="1469591629">
    <w:abstractNumId w:val="9"/>
  </w:num>
  <w:num w:numId="22" w16cid:durableId="1077746556">
    <w:abstractNumId w:val="7"/>
  </w:num>
  <w:num w:numId="23" w16cid:durableId="1499926540">
    <w:abstractNumId w:val="6"/>
  </w:num>
  <w:num w:numId="24" w16cid:durableId="296883096">
    <w:abstractNumId w:val="5"/>
  </w:num>
  <w:num w:numId="25" w16cid:durableId="686491778">
    <w:abstractNumId w:val="4"/>
  </w:num>
  <w:num w:numId="26" w16cid:durableId="310717917">
    <w:abstractNumId w:val="8"/>
  </w:num>
  <w:num w:numId="27" w16cid:durableId="1818765230">
    <w:abstractNumId w:val="3"/>
  </w:num>
  <w:num w:numId="28" w16cid:durableId="1161851125">
    <w:abstractNumId w:val="2"/>
  </w:num>
  <w:num w:numId="29" w16cid:durableId="2140680285">
    <w:abstractNumId w:val="1"/>
  </w:num>
  <w:num w:numId="30" w16cid:durableId="502169010">
    <w:abstractNumId w:val="0"/>
  </w:num>
  <w:num w:numId="31" w16cid:durableId="996150719">
    <w:abstractNumId w:val="9"/>
  </w:num>
  <w:num w:numId="32" w16cid:durableId="1578174699">
    <w:abstractNumId w:val="7"/>
  </w:num>
  <w:num w:numId="33" w16cid:durableId="1449621595">
    <w:abstractNumId w:val="6"/>
  </w:num>
  <w:num w:numId="34" w16cid:durableId="942494342">
    <w:abstractNumId w:val="5"/>
  </w:num>
  <w:num w:numId="35" w16cid:durableId="421679462">
    <w:abstractNumId w:val="4"/>
  </w:num>
  <w:num w:numId="36" w16cid:durableId="1930310450">
    <w:abstractNumId w:val="8"/>
  </w:num>
  <w:num w:numId="37" w16cid:durableId="1323893074">
    <w:abstractNumId w:val="3"/>
  </w:num>
  <w:num w:numId="38" w16cid:durableId="1494879921">
    <w:abstractNumId w:val="2"/>
  </w:num>
  <w:num w:numId="39" w16cid:durableId="367723896">
    <w:abstractNumId w:val="1"/>
  </w:num>
  <w:num w:numId="40" w16cid:durableId="1121068870">
    <w:abstractNumId w:val="0"/>
  </w:num>
  <w:num w:numId="41" w16cid:durableId="43717193">
    <w:abstractNumId w:val="10"/>
  </w:num>
  <w:num w:numId="42" w16cid:durableId="866328427">
    <w:abstractNumId w:val="10"/>
  </w:num>
  <w:num w:numId="43" w16cid:durableId="1596862641">
    <w:abstractNumId w:val="10"/>
  </w:num>
  <w:num w:numId="44" w16cid:durableId="280378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FI"/>
    <w:docVar w:name="dvnumam" w:val="0"/>
    <w:docVar w:name="dvpe" w:val="776.838"/>
    <w:docVar w:name="dvrapporteur" w:val="Esittelijä: "/>
    <w:docVar w:name="dvtitre" w:val="Euroopan parlamentin päätöslauselma xx. lokakuuta 2025 neuvoston kannasta esitykseen Euroopan unionin lisätalousarvioksi nro 2/2025 varainhoitovuodeksi 2025 – tulojen tarkistaminen (omat varat) ja menoja koskevat mukautukset(12353/2025 – C10-0209/2025 – 2025/0206(BUD))"/>
  </w:docVars>
  <w:rsids>
    <w:rsidRoot w:val="00626396"/>
    <w:rsid w:val="00002272"/>
    <w:rsid w:val="000036E5"/>
    <w:rsid w:val="00064002"/>
    <w:rsid w:val="000677B9"/>
    <w:rsid w:val="000831BA"/>
    <w:rsid w:val="000A42CC"/>
    <w:rsid w:val="000E7DD9"/>
    <w:rsid w:val="0010095E"/>
    <w:rsid w:val="00125B37"/>
    <w:rsid w:val="00183B29"/>
    <w:rsid w:val="00187494"/>
    <w:rsid w:val="001A359D"/>
    <w:rsid w:val="001F32AE"/>
    <w:rsid w:val="002767FF"/>
    <w:rsid w:val="002B18FE"/>
    <w:rsid w:val="002B5493"/>
    <w:rsid w:val="002D6D02"/>
    <w:rsid w:val="00343214"/>
    <w:rsid w:val="00361C00"/>
    <w:rsid w:val="00395FA1"/>
    <w:rsid w:val="003E15D4"/>
    <w:rsid w:val="00411CCE"/>
    <w:rsid w:val="0041666E"/>
    <w:rsid w:val="00421060"/>
    <w:rsid w:val="00471C19"/>
    <w:rsid w:val="004867E3"/>
    <w:rsid w:val="00494A28"/>
    <w:rsid w:val="004C0004"/>
    <w:rsid w:val="004C3D99"/>
    <w:rsid w:val="004C5D52"/>
    <w:rsid w:val="004E21D1"/>
    <w:rsid w:val="0050519A"/>
    <w:rsid w:val="005072A1"/>
    <w:rsid w:val="00514517"/>
    <w:rsid w:val="00545827"/>
    <w:rsid w:val="00560270"/>
    <w:rsid w:val="005C2568"/>
    <w:rsid w:val="005F1B17"/>
    <w:rsid w:val="006037C0"/>
    <w:rsid w:val="00626396"/>
    <w:rsid w:val="006631B6"/>
    <w:rsid w:val="00680577"/>
    <w:rsid w:val="006F74FA"/>
    <w:rsid w:val="00731ADD"/>
    <w:rsid w:val="00734777"/>
    <w:rsid w:val="00747932"/>
    <w:rsid w:val="00751A4A"/>
    <w:rsid w:val="00756632"/>
    <w:rsid w:val="00762C74"/>
    <w:rsid w:val="00786EC0"/>
    <w:rsid w:val="007D1690"/>
    <w:rsid w:val="007E22AD"/>
    <w:rsid w:val="007F1334"/>
    <w:rsid w:val="00817416"/>
    <w:rsid w:val="00842779"/>
    <w:rsid w:val="00865F67"/>
    <w:rsid w:val="00881A7B"/>
    <w:rsid w:val="008840E5"/>
    <w:rsid w:val="00887B3E"/>
    <w:rsid w:val="008C2AC6"/>
    <w:rsid w:val="00930C23"/>
    <w:rsid w:val="0093193B"/>
    <w:rsid w:val="00935294"/>
    <w:rsid w:val="009509D8"/>
    <w:rsid w:val="00950B64"/>
    <w:rsid w:val="00981893"/>
    <w:rsid w:val="00986517"/>
    <w:rsid w:val="00A1687D"/>
    <w:rsid w:val="00A43E52"/>
    <w:rsid w:val="00A4678D"/>
    <w:rsid w:val="00A778C7"/>
    <w:rsid w:val="00AB441E"/>
    <w:rsid w:val="00AB6293"/>
    <w:rsid w:val="00AE0928"/>
    <w:rsid w:val="00AF3B82"/>
    <w:rsid w:val="00B12E95"/>
    <w:rsid w:val="00B22876"/>
    <w:rsid w:val="00B558F0"/>
    <w:rsid w:val="00B64266"/>
    <w:rsid w:val="00BD48FE"/>
    <w:rsid w:val="00BD7BD8"/>
    <w:rsid w:val="00BE6ADC"/>
    <w:rsid w:val="00C05BFE"/>
    <w:rsid w:val="00C23CD4"/>
    <w:rsid w:val="00C61C0C"/>
    <w:rsid w:val="00C941CB"/>
    <w:rsid w:val="00CA517E"/>
    <w:rsid w:val="00CC2357"/>
    <w:rsid w:val="00CF071A"/>
    <w:rsid w:val="00D058B8"/>
    <w:rsid w:val="00D56C11"/>
    <w:rsid w:val="00D834A0"/>
    <w:rsid w:val="00D872DF"/>
    <w:rsid w:val="00D91E21"/>
    <w:rsid w:val="00DA7FCD"/>
    <w:rsid w:val="00E365E1"/>
    <w:rsid w:val="00E820A4"/>
    <w:rsid w:val="00EB006A"/>
    <w:rsid w:val="00EB4772"/>
    <w:rsid w:val="00ED0D41"/>
    <w:rsid w:val="00ED169E"/>
    <w:rsid w:val="00ED4235"/>
    <w:rsid w:val="00F04346"/>
    <w:rsid w:val="00F075DC"/>
    <w:rsid w:val="00F149E9"/>
    <w:rsid w:val="00F5134D"/>
    <w:rsid w:val="00F622B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BD9A3"/>
  <w15:chartTrackingRefBased/>
  <w15:docId w15:val="{45BFD09C-734A-439C-BA4B-3C9B36DE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517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6517"/>
    <w:pPr>
      <w:spacing w:before="480" w:after="240"/>
    </w:pPr>
  </w:style>
  <w:style w:type="paragraph" w:customStyle="1" w:styleId="NormalHanging12a">
    <w:name w:val="NormalHanging12a"/>
    <w:basedOn w:val="Normal"/>
    <w:link w:val="NormalHanging12aChar"/>
    <w:rsid w:val="00986517"/>
    <w:pPr>
      <w:spacing w:after="240"/>
      <w:ind w:left="567" w:hanging="567"/>
    </w:pPr>
  </w:style>
  <w:style w:type="character" w:styleId="Hyperlink">
    <w:name w:val="Hyperlink"/>
    <w:basedOn w:val="DefaultParagraphFont"/>
    <w:uiPriority w:val="99"/>
    <w:rsid w:val="00986517"/>
    <w:rPr>
      <w:color w:val="0563C1" w:themeColor="hyperlink"/>
      <w:u w:val="single"/>
    </w:rPr>
  </w:style>
  <w:style w:type="character" w:customStyle="1" w:styleId="NormalHanging12aChar">
    <w:name w:val="NormalHanging12a Char"/>
    <w:basedOn w:val="DefaultParagraphFont"/>
    <w:link w:val="NormalHanging12a"/>
    <w:locked/>
    <w:rsid w:val="00986517"/>
    <w:rPr>
      <w:sz w:val="24"/>
      <w:lang w:val="fi-FI"/>
    </w:rPr>
  </w:style>
  <w:style w:type="paragraph" w:styleId="Footer">
    <w:name w:val="footer"/>
    <w:basedOn w:val="Normal"/>
    <w:link w:val="FooterChar"/>
    <w:rsid w:val="00CA517E"/>
    <w:pPr>
      <w:tabs>
        <w:tab w:val="center" w:pos="4513"/>
        <w:tab w:val="right" w:pos="9026"/>
      </w:tabs>
    </w:pPr>
  </w:style>
  <w:style w:type="character" w:customStyle="1" w:styleId="FooterChar">
    <w:name w:val="Footer Char"/>
    <w:basedOn w:val="DefaultParagraphFont"/>
    <w:link w:val="Footer"/>
    <w:rsid w:val="00CA517E"/>
    <w:rPr>
      <w:sz w:val="24"/>
      <w:lang w:val="fi-FI"/>
    </w:rPr>
  </w:style>
  <w:style w:type="paragraph" w:styleId="Revision">
    <w:name w:val="Revision"/>
    <w:hidden/>
    <w:uiPriority w:val="99"/>
    <w:semiHidden/>
    <w:rsid w:val="001A359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1376</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2025-12-15T10:49:00Z</dcterms:created>
  <dcterms:modified xsi:type="dcterms:W3CDTF">2025-12-15T10:49:00Z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P10_TA(2025)0218_</vt:lpwstr>
  </property>
  <property fmtid="{D5CDD505-2E9C-101B-9397-08002B2CF9AE}" pid="4" name="&lt;Type&gt;">
    <vt:lpwstr>RR</vt:lpwstr>
  </property>
</Properties>
</file>