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22E70" w14:paraId="4C0566B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F4ECF61" w14:textId="77777777" w:rsidR="00751A4A" w:rsidRPr="00022E70" w:rsidRDefault="00CE23E2" w:rsidP="0010095E">
            <w:pPr>
              <w:pStyle w:val="EPName"/>
            </w:pPr>
            <w:r w:rsidRPr="00022E70">
              <w:t>Europski parlament</w:t>
            </w:r>
          </w:p>
          <w:p w14:paraId="7D768178" w14:textId="77777777" w:rsidR="00751A4A" w:rsidRPr="00022E7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22E70">
              <w:t>2024</w:t>
            </w:r>
            <w:r w:rsidR="00817416" w:rsidRPr="00022E70">
              <w:t>-202</w:t>
            </w:r>
            <w:r w:rsidRPr="00022E70">
              <w:t>9</w:t>
            </w:r>
          </w:p>
        </w:tc>
        <w:tc>
          <w:tcPr>
            <w:tcW w:w="2268" w:type="dxa"/>
            <w:shd w:val="clear" w:color="auto" w:fill="auto"/>
          </w:tcPr>
          <w:p w14:paraId="4651D281" w14:textId="77777777" w:rsidR="00751A4A" w:rsidRPr="00022E70" w:rsidRDefault="00187494" w:rsidP="0010095E">
            <w:pPr>
              <w:pStyle w:val="EPLogo"/>
            </w:pPr>
            <w:r w:rsidRPr="00022E70">
              <w:rPr>
                <w:noProof/>
                <w:lang w:eastAsia="ja-JP"/>
              </w:rPr>
              <w:drawing>
                <wp:inline distT="0" distB="0" distL="0" distR="0" wp14:anchorId="10D8742C" wp14:editId="5AED83E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42821B" w14:textId="77777777" w:rsidR="00D058B8" w:rsidRPr="00022E70" w:rsidRDefault="00D058B8" w:rsidP="004C5D52">
      <w:pPr>
        <w:pStyle w:val="LineTop"/>
      </w:pPr>
    </w:p>
    <w:p w14:paraId="4085F071" w14:textId="77777777" w:rsidR="00680577" w:rsidRPr="00022E70" w:rsidRDefault="00CE23E2" w:rsidP="00680577">
      <w:pPr>
        <w:pStyle w:val="EPBodyTA1"/>
      </w:pPr>
      <w:r w:rsidRPr="00022E70">
        <w:t>USVOJENI TEKSTOVI</w:t>
      </w:r>
    </w:p>
    <w:p w14:paraId="6D660673" w14:textId="77777777" w:rsidR="00D058B8" w:rsidRPr="00022E70" w:rsidRDefault="00D058B8" w:rsidP="00D058B8">
      <w:pPr>
        <w:pStyle w:val="LineBottom"/>
      </w:pPr>
    </w:p>
    <w:p w14:paraId="7E125D17" w14:textId="72F36AA7" w:rsidR="00CE23E2" w:rsidRPr="00022E70" w:rsidRDefault="00CE23E2" w:rsidP="00CE23E2">
      <w:pPr>
        <w:pStyle w:val="ATHeading1"/>
      </w:pPr>
      <w:bookmarkStart w:id="0" w:name="TANumber"/>
      <w:r w:rsidRPr="00022E70">
        <w:t>P10_TA(2025)0</w:t>
      </w:r>
      <w:r w:rsidR="009419B9">
        <w:t>218</w:t>
      </w:r>
      <w:bookmarkEnd w:id="0"/>
    </w:p>
    <w:p w14:paraId="218A2A2D" w14:textId="77777777" w:rsidR="00CE23E2" w:rsidRPr="00022E70" w:rsidRDefault="00CE23E2" w:rsidP="00CE23E2">
      <w:pPr>
        <w:pStyle w:val="ATHeading2"/>
      </w:pPr>
      <w:bookmarkStart w:id="1" w:name="title"/>
      <w:r w:rsidRPr="00022E70">
        <w:t>Nacrt izmjene proračuna br. 2/2025: ažuriranje prihoda (vlastita sredstva) i prilagodbe rashoda</w:t>
      </w:r>
      <w:bookmarkEnd w:id="1"/>
    </w:p>
    <w:p w14:paraId="4C80CCB3" w14:textId="77777777" w:rsidR="00CE23E2" w:rsidRPr="00022E70" w:rsidRDefault="00CE23E2" w:rsidP="00CE23E2">
      <w:pPr>
        <w:rPr>
          <w:i/>
          <w:vanish/>
        </w:rPr>
      </w:pPr>
      <w:r w:rsidRPr="00022E70">
        <w:rPr>
          <w:i/>
        </w:rPr>
        <w:fldChar w:fldCharType="begin"/>
      </w:r>
      <w:r w:rsidRPr="00022E70">
        <w:rPr>
          <w:i/>
        </w:rPr>
        <w:instrText xml:space="preserve"> TC"(</w:instrText>
      </w:r>
      <w:bookmarkStart w:id="2" w:name="DocNumber"/>
      <w:r w:rsidRPr="00022E70">
        <w:rPr>
          <w:i/>
        </w:rPr>
        <w:instrText>A10-0165/2025</w:instrText>
      </w:r>
      <w:bookmarkEnd w:id="2"/>
      <w:r w:rsidRPr="00022E70">
        <w:rPr>
          <w:i/>
        </w:rPr>
        <w:instrText xml:space="preserve"> - Izvjestitelj: Victor Negrescu)"\l3 \n&gt; \* MERGEFORMAT </w:instrText>
      </w:r>
      <w:r w:rsidRPr="00022E70">
        <w:rPr>
          <w:i/>
        </w:rPr>
        <w:fldChar w:fldCharType="end"/>
      </w:r>
    </w:p>
    <w:p w14:paraId="0439CC64" w14:textId="77777777" w:rsidR="00CE23E2" w:rsidRPr="00022E70" w:rsidRDefault="00CE23E2" w:rsidP="00CE23E2">
      <w:pPr>
        <w:rPr>
          <w:vanish/>
        </w:rPr>
      </w:pPr>
      <w:bookmarkStart w:id="3" w:name="Commission"/>
      <w:r w:rsidRPr="00022E70">
        <w:rPr>
          <w:vanish/>
        </w:rPr>
        <w:t>Odbor za proračune</w:t>
      </w:r>
      <w:bookmarkEnd w:id="3"/>
    </w:p>
    <w:p w14:paraId="3862D83E" w14:textId="77777777" w:rsidR="00CE23E2" w:rsidRPr="00022E70" w:rsidRDefault="00CE23E2" w:rsidP="00CE23E2">
      <w:pPr>
        <w:rPr>
          <w:vanish/>
        </w:rPr>
      </w:pPr>
      <w:bookmarkStart w:id="4" w:name="PE"/>
      <w:r w:rsidRPr="00022E70">
        <w:rPr>
          <w:vanish/>
        </w:rPr>
        <w:t>PE776.838</w:t>
      </w:r>
      <w:bookmarkEnd w:id="4"/>
    </w:p>
    <w:p w14:paraId="430E9A0A" w14:textId="490E19CE" w:rsidR="00CE23E2" w:rsidRPr="00022E70" w:rsidRDefault="00CE23E2" w:rsidP="00CE23E2">
      <w:pPr>
        <w:pStyle w:val="ATHeading3"/>
      </w:pPr>
      <w:bookmarkStart w:id="5" w:name="Sujet"/>
      <w:r w:rsidRPr="00022E70">
        <w:t xml:space="preserve">Rezolucija Europskog parlamenta od </w:t>
      </w:r>
      <w:r w:rsidR="00775C32">
        <w:t>8. listopada</w:t>
      </w:r>
      <w:r w:rsidRPr="00022E70">
        <w:t xml:space="preserve"> 2025. o stajalištu Vijeća o Nacrtu izmjene proračuna br. 2/2025 Europske unije za financijsku godinu 2025. – ažuriranje prihoda (vlastita sredstva) i prilagodbe rashoda</w:t>
      </w:r>
      <w:bookmarkEnd w:id="5"/>
      <w:r w:rsidRPr="00022E70">
        <w:t xml:space="preserve"> </w:t>
      </w:r>
      <w:bookmarkStart w:id="6" w:name="References"/>
      <w:r w:rsidRPr="00022E70">
        <w:t>(12353/2025 – C10-0209/2025 – 2025/0206(BUD))</w:t>
      </w:r>
      <w:bookmarkEnd w:id="6"/>
    </w:p>
    <w:p w14:paraId="304BF2AB" w14:textId="77777777" w:rsidR="00A47C43" w:rsidRPr="00022E70" w:rsidRDefault="00A47C43" w:rsidP="00A47C43">
      <w:pPr>
        <w:pStyle w:val="EPComma"/>
      </w:pPr>
      <w:bookmarkStart w:id="7" w:name="TextBodyBegin"/>
      <w:bookmarkEnd w:id="7"/>
      <w:r w:rsidRPr="00022E70">
        <w:rPr>
          <w:i/>
        </w:rPr>
        <w:t>Europski parlament</w:t>
      </w:r>
      <w:r w:rsidRPr="00022E70">
        <w:t>,</w:t>
      </w:r>
    </w:p>
    <w:p w14:paraId="6CA95F89" w14:textId="77777777" w:rsidR="00A47C43" w:rsidRPr="00022E70" w:rsidRDefault="00A47C43" w:rsidP="00A47C43">
      <w:pPr>
        <w:pStyle w:val="NormalHanging12a"/>
      </w:pPr>
      <w:r w:rsidRPr="00022E70">
        <w:t>–</w:t>
      </w:r>
      <w:r w:rsidRPr="00022E70">
        <w:tab/>
        <w:t>uzimajući u obzir članak 314. Ugovora o funkcioniranju Europske unije,</w:t>
      </w:r>
    </w:p>
    <w:p w14:paraId="38C30DAC" w14:textId="77777777" w:rsidR="00A47C43" w:rsidRPr="00022E70" w:rsidRDefault="00A47C43" w:rsidP="00A47C43">
      <w:pPr>
        <w:pStyle w:val="NormalHanging12a"/>
      </w:pPr>
      <w:r w:rsidRPr="00022E70">
        <w:t>–</w:t>
      </w:r>
      <w:r w:rsidRPr="00022E70">
        <w:tab/>
        <w:t>uzimajući u obzir članak 106.a Ugovora o osnivanju Europske zajednice za atomsku energiju,</w:t>
      </w:r>
    </w:p>
    <w:p w14:paraId="2DF03F8D" w14:textId="77777777" w:rsidR="00A47C43" w:rsidRPr="00022E70" w:rsidRDefault="00A47C43" w:rsidP="00A47C43">
      <w:pPr>
        <w:pStyle w:val="NormalHanging12a"/>
      </w:pPr>
      <w:r w:rsidRPr="00022E70">
        <w:t>–</w:t>
      </w:r>
      <w:r w:rsidRPr="00022E70">
        <w:tab/>
        <w:t>uzimajući u obzir Uredbu (EU, Euratom) 2024/2509 Europskog parlamenta i Vijeća od 23. rujna 2024. o financijskim pravilima koja se primjenjuju na opći proračun Unije</w:t>
      </w:r>
      <w:r w:rsidRPr="00022E70">
        <w:rPr>
          <w:rStyle w:val="FootnoteReference"/>
        </w:rPr>
        <w:footnoteReference w:id="1"/>
      </w:r>
      <w:r w:rsidRPr="00022E70">
        <w:t>, a posebno njezin članak 44.,</w:t>
      </w:r>
    </w:p>
    <w:p w14:paraId="74C2C34F" w14:textId="77777777" w:rsidR="00A47C43" w:rsidRPr="00022E70" w:rsidRDefault="00A47C43" w:rsidP="00A47C43">
      <w:pPr>
        <w:pStyle w:val="NormalHanging12a"/>
      </w:pPr>
      <w:r w:rsidRPr="00022E70">
        <w:t>–</w:t>
      </w:r>
      <w:r w:rsidRPr="00022E70">
        <w:tab/>
        <w:t>uzimajući u obzir opći proračun Europske unije za financijsku godinu 2025., konačno donesen 27. studenoga 2024.</w:t>
      </w:r>
      <w:r w:rsidRPr="00022E70">
        <w:rPr>
          <w:rStyle w:val="FootnoteReference"/>
        </w:rPr>
        <w:footnoteReference w:id="2"/>
      </w:r>
      <w:r w:rsidRPr="00022E70">
        <w:t>,</w:t>
      </w:r>
    </w:p>
    <w:p w14:paraId="6ECBABA7" w14:textId="77777777" w:rsidR="00A47C43" w:rsidRPr="00022E70" w:rsidRDefault="00A47C43" w:rsidP="00A47C43">
      <w:pPr>
        <w:pStyle w:val="NormalHanging12a"/>
      </w:pPr>
      <w:r w:rsidRPr="00022E70">
        <w:t>–</w:t>
      </w:r>
      <w:r w:rsidRPr="00022E70">
        <w:tab/>
        <w:t>uzimajući u obzir Uredbu Vijeća (EU, Euratom) 2020/2093 od 17. prosinca 2020. kojom se utvrđuje višegodišnji financijski okvir za razdoblje 2021. – 2027.</w:t>
      </w:r>
      <w:r w:rsidRPr="00022E70">
        <w:rPr>
          <w:rStyle w:val="FootnoteReference"/>
        </w:rPr>
        <w:footnoteReference w:id="3"/>
      </w:r>
      <w:r w:rsidRPr="00022E70">
        <w:t>,</w:t>
      </w:r>
    </w:p>
    <w:p w14:paraId="16850C8C" w14:textId="77777777" w:rsidR="00A47C43" w:rsidRPr="00022E70" w:rsidRDefault="00A47C43" w:rsidP="00A47C43">
      <w:pPr>
        <w:pStyle w:val="NormalHanging12a"/>
      </w:pPr>
      <w:r w:rsidRPr="00022E70">
        <w:t>–</w:t>
      </w:r>
      <w:r w:rsidRPr="00022E70">
        <w:tab/>
        <w:t xml:space="preserve">uzimajući u obzir </w:t>
      </w:r>
      <w:proofErr w:type="spellStart"/>
      <w:r w:rsidRPr="00022E70">
        <w:t>Međuinstitucijski</w:t>
      </w:r>
      <w:proofErr w:type="spellEnd"/>
      <w:r w:rsidRPr="00022E70">
        <w:t xml:space="preserve"> sporazum od 16. prosinca 2020. između Europskog parlamenta, Vijeća Europske unije i Europske komisije o proračunskoj disciplini, suradnji u proračunskim pitanjima i dobrom financijskom upravljanju te novim vlastitim sredstvima, uključujući plan za uvođenje novih vlastitih sredstava</w:t>
      </w:r>
      <w:r w:rsidRPr="00022E70">
        <w:rPr>
          <w:rStyle w:val="FootnoteReference"/>
        </w:rPr>
        <w:footnoteReference w:id="4"/>
      </w:r>
      <w:r w:rsidRPr="00022E70">
        <w:t>,</w:t>
      </w:r>
    </w:p>
    <w:p w14:paraId="093F1979" w14:textId="77777777" w:rsidR="00A47C43" w:rsidRPr="00022E70" w:rsidRDefault="00A47C43" w:rsidP="00A47C43">
      <w:pPr>
        <w:pStyle w:val="NormalHanging12a"/>
      </w:pPr>
      <w:r w:rsidRPr="00022E70">
        <w:t>–</w:t>
      </w:r>
      <w:r w:rsidRPr="00022E70">
        <w:tab/>
        <w:t xml:space="preserve">uzimajući u obzir Odluku Vijeća (EU, Euratom) 2020/2053 od 14. prosinca 2020. o </w:t>
      </w:r>
      <w:r w:rsidRPr="00022E70">
        <w:lastRenderedPageBreak/>
        <w:t>sustavu vlastitih sredstava Europske unije te o stavljanju izvan snage Odluke 2014/335/EU, Euratom</w:t>
      </w:r>
      <w:r w:rsidRPr="00022E70">
        <w:rPr>
          <w:rStyle w:val="FootnoteReference"/>
        </w:rPr>
        <w:footnoteReference w:id="5"/>
      </w:r>
      <w:r w:rsidRPr="00022E70">
        <w:t>,</w:t>
      </w:r>
    </w:p>
    <w:p w14:paraId="54C0FCCA" w14:textId="77777777" w:rsidR="00A47C43" w:rsidRPr="00022E70" w:rsidRDefault="00A47C43" w:rsidP="00A47C43">
      <w:pPr>
        <w:pStyle w:val="NormalHanging12a"/>
      </w:pPr>
      <w:r w:rsidRPr="00022E70">
        <w:t>–</w:t>
      </w:r>
      <w:r w:rsidRPr="00022E70">
        <w:tab/>
        <w:t>uzimajući u obzir Nacrt izmjene proračuna br. 2/2025 koji je Komisija usvojila 4. srpnja 2025. (COM(2025)0410),</w:t>
      </w:r>
    </w:p>
    <w:p w14:paraId="0AAEB651" w14:textId="77777777" w:rsidR="00A47C43" w:rsidRPr="00022E70" w:rsidRDefault="00A47C43" w:rsidP="00A47C43">
      <w:pPr>
        <w:pStyle w:val="NormalHanging12a"/>
      </w:pPr>
      <w:r w:rsidRPr="00022E70">
        <w:t>–</w:t>
      </w:r>
      <w:r w:rsidRPr="00022E70">
        <w:tab/>
        <w:t>uzimajući u obzir stajalište o Nacrtu izmjene proračuna br. 2/2025 koje je Vijeće usvojilo 16. rujna 2025. i proslijedilo Parlamentu 17. rujna 2025. (12353/2025 – C10</w:t>
      </w:r>
      <w:r w:rsidRPr="00022E70">
        <w:noBreakHyphen/>
        <w:t>0209/2025),</w:t>
      </w:r>
    </w:p>
    <w:p w14:paraId="6B94E83C" w14:textId="77777777" w:rsidR="00A47C43" w:rsidRPr="00022E70" w:rsidRDefault="00A47C43" w:rsidP="00A47C43">
      <w:pPr>
        <w:pStyle w:val="NormalHanging12a"/>
      </w:pPr>
      <w:r w:rsidRPr="00022E70">
        <w:t>–</w:t>
      </w:r>
      <w:r w:rsidRPr="00022E70">
        <w:tab/>
        <w:t>uzimajući u obzir članke 96. i 98. Poslovnika,</w:t>
      </w:r>
    </w:p>
    <w:p w14:paraId="4A9E4972" w14:textId="77777777" w:rsidR="00A47C43" w:rsidRPr="00022E70" w:rsidRDefault="00A47C43" w:rsidP="00A47C43">
      <w:pPr>
        <w:pStyle w:val="NormalHanging12a"/>
      </w:pPr>
      <w:r w:rsidRPr="00022E70">
        <w:t>–</w:t>
      </w:r>
      <w:r w:rsidRPr="00022E70">
        <w:tab/>
        <w:t>uzimajući u obzir izvješće Odbora za proračune (A10</w:t>
      </w:r>
      <w:r w:rsidRPr="00022E70">
        <w:noBreakHyphen/>
        <w:t>0165/2025).</w:t>
      </w:r>
    </w:p>
    <w:p w14:paraId="357479CC" w14:textId="77777777" w:rsidR="00A47C43" w:rsidRPr="00022E70" w:rsidRDefault="00A47C43" w:rsidP="00A47C43">
      <w:pPr>
        <w:pStyle w:val="NormalHanging12a"/>
      </w:pPr>
      <w:r w:rsidRPr="00022E70">
        <w:t>A.</w:t>
      </w:r>
      <w:r w:rsidRPr="00022E70">
        <w:tab/>
        <w:t>budući da je svrha Nacrta izmjene proračuna br. 2/2025 ažuriranje prihodovne strane proračuna kako bi se uzela u obzir najnovija kretanja te, osim toga, prilagodba rashodovne strane proračuna u odnosu na više stavki rashoda;</w:t>
      </w:r>
    </w:p>
    <w:p w14:paraId="507169B7" w14:textId="419AC2F3" w:rsidR="00A47C43" w:rsidRPr="00022E70" w:rsidRDefault="00A47C43" w:rsidP="00A47C43">
      <w:pPr>
        <w:pStyle w:val="NormalHanging12a"/>
      </w:pPr>
      <w:r w:rsidRPr="00022E70">
        <w:t>B.</w:t>
      </w:r>
      <w:r w:rsidRPr="00022E70">
        <w:tab/>
        <w:t>budući da se Nacrtom izmjene proračuna br. 2/2025 podrazumijeva revizija predviđanja vlastitih sredstava u vezi s carinama</w:t>
      </w:r>
      <w:r w:rsidR="00F416F8">
        <w:t>,</w:t>
      </w:r>
      <w:r w:rsidRPr="00022E70">
        <w:t xml:space="preserve"> </w:t>
      </w:r>
      <w:r w:rsidR="00F416F8">
        <w:t xml:space="preserve">koja su </w:t>
      </w:r>
      <w:r w:rsidRPr="00022E70">
        <w:t>1 % manj</w:t>
      </w:r>
      <w:r w:rsidR="00F416F8">
        <w:t>a</w:t>
      </w:r>
      <w:r w:rsidRPr="00022E70">
        <w:t xml:space="preserve"> nego što je predviđeno u svibnju 2024., ograničenom osnovicom PDV-a </w:t>
      </w:r>
      <w:r w:rsidR="00F416F8">
        <w:t xml:space="preserve">koja su </w:t>
      </w:r>
      <w:r w:rsidRPr="00022E70">
        <w:t>2,4 % manj</w:t>
      </w:r>
      <w:r w:rsidR="00F416F8">
        <w:t>a</w:t>
      </w:r>
      <w:r w:rsidRPr="00022E70">
        <w:t xml:space="preserve"> nego što je predviđeno u svibnju 2024., nerecikliranim plastičnim ambalažnim otpadom</w:t>
      </w:r>
      <w:r w:rsidR="00F416F8">
        <w:t>,</w:t>
      </w:r>
      <w:r w:rsidRPr="00022E70">
        <w:t xml:space="preserve"> </w:t>
      </w:r>
      <w:r w:rsidR="00F416F8">
        <w:t xml:space="preserve">koja su </w:t>
      </w:r>
      <w:r w:rsidRPr="00022E70">
        <w:t>3,5 % manj</w:t>
      </w:r>
      <w:r w:rsidR="00F416F8">
        <w:t>a</w:t>
      </w:r>
      <w:r w:rsidRPr="00022E70">
        <w:t xml:space="preserve"> nego što je predviđeno u svibnju 2024., i ukupnom osnovicom BND-a za EU </w:t>
      </w:r>
      <w:r w:rsidR="00F416F8">
        <w:t xml:space="preserve">koja su </w:t>
      </w:r>
      <w:r w:rsidRPr="00022E70">
        <w:t>0,5 % v</w:t>
      </w:r>
      <w:r w:rsidR="00F416F8">
        <w:t>eća</w:t>
      </w:r>
      <w:r w:rsidRPr="00022E70">
        <w:t xml:space="preserve"> nego što je predviđeno u svibnju 2024.;</w:t>
      </w:r>
    </w:p>
    <w:p w14:paraId="29F16CD2" w14:textId="77777777" w:rsidR="00A47C43" w:rsidRPr="00022E70" w:rsidRDefault="00A47C43" w:rsidP="00A47C43">
      <w:pPr>
        <w:pStyle w:val="NormalHanging12a"/>
      </w:pPr>
      <w:r w:rsidRPr="00022E70">
        <w:t>C.</w:t>
      </w:r>
      <w:r w:rsidRPr="00022E70">
        <w:tab/>
        <w:t>budući da se Nacrtom izmjene proračuna br. 2/2025 također ažurira doprinos Ujedinjene Kraljevine za 2025. u skladu sa Sporazumom o povlačenju, u iznosu od 1,53 milijarde EUR, što je skromno smanjenje od 25 milijuna EUR u odnosu na procjenu iz proračuna za 2025.;</w:t>
      </w:r>
    </w:p>
    <w:p w14:paraId="2DE877E0" w14:textId="77777777" w:rsidR="00A47C43" w:rsidRPr="00022E70" w:rsidRDefault="00A47C43" w:rsidP="00A47C43">
      <w:pPr>
        <w:pStyle w:val="NormalHanging12a"/>
      </w:pPr>
      <w:r w:rsidRPr="00022E70">
        <w:t>D.</w:t>
      </w:r>
      <w:r w:rsidRPr="00022E70">
        <w:tab/>
        <w:t>budući da se u Nacrtu izmjene proračuna br. 2/2025 uzimaju u obzir i novčane kazne, kazne zbog povrede pravila te negativni povrati naplaćeni do kraja svibnja 2025., čime se početno predviđanje iznosa novčanih kazni i sankcija u proračunu za 2025. povećava za 291 milijun EUR;</w:t>
      </w:r>
    </w:p>
    <w:p w14:paraId="4A4BA012" w14:textId="77777777" w:rsidR="00A47C43" w:rsidRPr="00022E70" w:rsidRDefault="00A47C43" w:rsidP="00A47C43">
      <w:pPr>
        <w:pStyle w:val="NormalHanging12a"/>
      </w:pPr>
      <w:r w:rsidRPr="00022E70">
        <w:t>E.</w:t>
      </w:r>
      <w:r w:rsidRPr="00022E70">
        <w:tab/>
        <w:t>budući da se, kad je riječ o rashodovnoj strani, u Nacrtu izmjene proračuna br. 2/2025 predlaže niz ažuriranja odobrenih sredstava za preuzimanje obveza i odobrenih sredstava za plaćanje, pri čemu je najistaknutije povećanje od 3,5 milijardi EUR u plaćanjima za Europski poljoprivredni fond za ruralni razvoj;</w:t>
      </w:r>
    </w:p>
    <w:p w14:paraId="5248A842" w14:textId="77777777" w:rsidR="00A47C43" w:rsidRPr="00022E70" w:rsidRDefault="00A47C43" w:rsidP="00A47C43">
      <w:pPr>
        <w:pStyle w:val="NormalHanging12a"/>
      </w:pPr>
      <w:r w:rsidRPr="00022E70">
        <w:t>1.</w:t>
      </w:r>
      <w:r w:rsidRPr="00022E70">
        <w:tab/>
        <w:t>prima na znanje Nacrt izmjene proračuna br. 2/2025 koji je podnijela Komisija;</w:t>
      </w:r>
    </w:p>
    <w:p w14:paraId="486BBE06" w14:textId="77777777" w:rsidR="00A47C43" w:rsidRPr="00022E70" w:rsidRDefault="00A47C43" w:rsidP="00A47C43">
      <w:pPr>
        <w:pStyle w:val="NormalHanging12a"/>
      </w:pPr>
      <w:r w:rsidRPr="00022E70">
        <w:t>2.</w:t>
      </w:r>
      <w:r w:rsidRPr="00022E70">
        <w:tab/>
        <w:t>prima na znanje da smanjenje iznosa vlastitih sredstava koja nisu BND te dodatne potrebe za plaćanjima na rashodovnoj strani dovode do ukupne povećane potrebe za doprinosima na temelju BND-a u iznosu od 4,3 milijarde EUR; potvrđuje da to podrazumijeva izmjenu jedinstvene pozivne stope koja se temelji na BND-u s 0,527 % (u Nacrtu izmjene proračuna br. 1/2025) na 0,547 % (u Nacrtu izmjene proračuna br. 2/2025);</w:t>
      </w:r>
    </w:p>
    <w:p w14:paraId="6865C20C" w14:textId="4C38E8AD" w:rsidR="00A47C43" w:rsidRPr="00022E70" w:rsidRDefault="00A47C43" w:rsidP="00A47C43">
      <w:pPr>
        <w:pStyle w:val="NormalHanging12a"/>
      </w:pPr>
      <w:r w:rsidRPr="00022E70">
        <w:t>3.</w:t>
      </w:r>
      <w:r w:rsidRPr="00022E70">
        <w:tab/>
        <w:t xml:space="preserve">ističe da prema Nacrtu izmjene proračuna br. 2/2025 paušalno smanjenje BND-a za pet </w:t>
      </w:r>
      <w:r w:rsidRPr="00022E70">
        <w:lastRenderedPageBreak/>
        <w:t xml:space="preserve">država članica korisnica iznosi oko 9,2 milijarde EUR (bruto); naglašava da su te olakšice povezane s inflacijom te da su se stoga povećale po višoj stopi od gornjih granica </w:t>
      </w:r>
      <w:r w:rsidR="00BA567C" w:rsidRPr="00BA567C">
        <w:t>višegodišnj</w:t>
      </w:r>
      <w:r w:rsidR="00BA567C">
        <w:t>eg</w:t>
      </w:r>
      <w:r w:rsidR="00BA567C" w:rsidRPr="00BA567C">
        <w:t xml:space="preserve"> financijsk</w:t>
      </w:r>
      <w:r w:rsidR="00BA567C">
        <w:t>og</w:t>
      </w:r>
      <w:r w:rsidR="00BA567C" w:rsidRPr="00BA567C">
        <w:t xml:space="preserve"> okvir</w:t>
      </w:r>
      <w:r w:rsidR="00BA567C">
        <w:t>a (</w:t>
      </w:r>
      <w:r w:rsidRPr="00022E70">
        <w:t>VFO</w:t>
      </w:r>
      <w:r w:rsidR="00BA567C">
        <w:t>)</w:t>
      </w:r>
      <w:r w:rsidRPr="00022E70">
        <w:t>, koje se svake godine prilagođavaju na temelju deflatora od 2 %; ističe da je proračun Unije</w:t>
      </w:r>
      <w:r w:rsidR="00FC019F">
        <w:t xml:space="preserve"> znatno</w:t>
      </w:r>
      <w:r w:rsidRPr="00022E70">
        <w:t xml:space="preserve"> razvučen kako bi se odgovorilo na razne krize posljednjih nekoliko godina; ističe da se zbog te nepravilnosti u pogledu olakšica povećava opterećenje drugih država članica;</w:t>
      </w:r>
    </w:p>
    <w:p w14:paraId="22D22658" w14:textId="2DBF85CD" w:rsidR="00A47C43" w:rsidRPr="00022E70" w:rsidRDefault="00A47C43" w:rsidP="00A47C43">
      <w:pPr>
        <w:pStyle w:val="NormalHanging12a"/>
      </w:pPr>
      <w:r w:rsidRPr="00022E70">
        <w:t>4.</w:t>
      </w:r>
      <w:r w:rsidRPr="00022E70">
        <w:tab/>
        <w:t>pozdravlja nove napore koje Komisija ulaže da predstavi više mogućnosti za nove izvore prihoda za proračun Unije; prima na znanje, u tom kontekstu, Prijedlog Komisije za Odluku Vijeća o sustavu vlastitih sredstava Europske unije od 16. srpnja 2025.; smatra da je potrebno brzo usvajanje novih vlastitih sredstava kako bi se povećao iznos sredstava</w:t>
      </w:r>
      <w:r w:rsidR="00FC019F">
        <w:t xml:space="preserve"> dostupnih za proračun</w:t>
      </w:r>
      <w:r w:rsidRPr="00022E70">
        <w:t xml:space="preserve">; naglašava da nova vlastita sredstva moraju biti pravedna te da su od ključne važnosti ne samo kako bi se omogućila otplata zajmova u okviru instrumenta </w:t>
      </w:r>
      <w:proofErr w:type="spellStart"/>
      <w:r w:rsidRPr="00022E70">
        <w:rPr>
          <w:i/>
          <w:iCs/>
        </w:rPr>
        <w:t>Next</w:t>
      </w:r>
      <w:proofErr w:type="spellEnd"/>
      <w:r w:rsidRPr="00022E70">
        <w:rPr>
          <w:i/>
          <w:iCs/>
        </w:rPr>
        <w:t xml:space="preserve"> </w:t>
      </w:r>
      <w:proofErr w:type="spellStart"/>
      <w:r w:rsidRPr="00022E70">
        <w:rPr>
          <w:i/>
          <w:iCs/>
        </w:rPr>
        <w:t>Generation</w:t>
      </w:r>
      <w:proofErr w:type="spellEnd"/>
      <w:r w:rsidRPr="00022E70">
        <w:rPr>
          <w:i/>
          <w:iCs/>
        </w:rPr>
        <w:t xml:space="preserve"> EU</w:t>
      </w:r>
      <w:r w:rsidRPr="00022E70">
        <w:t>, već i kako bi se osigurala sposobnost Unije za pokrivanje njezinih većih potreba za potrošnjom; podsjeća, u tom kontekstu, na svoje dugogodišnje stajalište da bi se neočekivani prihodi koji proizlaze iz novčanih kazni i sankcija ili njima jednakovrijedni iznosi trebali koristiti kao dodatni prihod za proračun Unije za potrebe reagiranja na krize ili neočekivane potrebe i da ne bi trebali biti razlog da se za odgovarajući iznos smanje doprinosi na temelju BND-a; naglašava da se u trenutačnom VFO-u takvi iznosi „vraćaju” državama članicama;</w:t>
      </w:r>
    </w:p>
    <w:p w14:paraId="7315CB97" w14:textId="77777777" w:rsidR="00A47C43" w:rsidRPr="00022E70" w:rsidRDefault="00A47C43" w:rsidP="00A47C43">
      <w:pPr>
        <w:pStyle w:val="NormalHanging12a"/>
      </w:pPr>
      <w:r w:rsidRPr="00022E70">
        <w:t>5.</w:t>
      </w:r>
      <w:r w:rsidRPr="00022E70">
        <w:tab/>
        <w:t>ističe da pouke iz nedavnih kriza – pandemije, energetskih šokova i rata u Ukrajini – zahtijevaju ozbiljno promišljanje o fleksibilnosti u sljedećem VFO-u; ponavlja svoje stajalište da bi se budući instrument fleksibilnosti trebao financirati iz niza dodatnih izvora financiranja, uključujući godišnji višak iz prethodne godine, novčane kazne i vraćena sredstva; prima na znanje relevantne odredbe iz predložene uredbe o VFO-u u kojima Komisija predlaže dodavanje određenih iznosa instrumentu fleksibilnosti, u skladu s dugogodišnjim zahtjevima Parlamenta; podsjeća, međutim, da fleksibilnost ne bi smjela biti nauštrb transparentnosti;</w:t>
      </w:r>
    </w:p>
    <w:p w14:paraId="263066F4" w14:textId="77777777" w:rsidR="00A47C43" w:rsidRPr="00022E70" w:rsidRDefault="00A47C43" w:rsidP="00A47C43">
      <w:pPr>
        <w:pStyle w:val="NormalHanging12a"/>
      </w:pPr>
      <w:r w:rsidRPr="00022E70">
        <w:t>6.</w:t>
      </w:r>
      <w:r w:rsidRPr="00022E70">
        <w:tab/>
        <w:t>pozdravlja činjenicu da je uslijed prilagodbe došlo do povećanja odobrenih sredstava za plaćanje za Fond za ruralni razvoj, navodeći da se provedba strateških planova u okviru ZPP-a za razdoblje 2023. – 2027. i intervencija u okviru programâ za razdoblje 2014. – 2020. ubrzavaju, čime se poništavaju kašnjenja u prethodnim proračunskim godinama;</w:t>
      </w:r>
    </w:p>
    <w:p w14:paraId="29EA654D" w14:textId="277CCF88" w:rsidR="00A47C43" w:rsidRPr="00022E70" w:rsidRDefault="00A47C43" w:rsidP="00A47C43">
      <w:pPr>
        <w:pStyle w:val="NormalHanging12a"/>
      </w:pPr>
      <w:r w:rsidRPr="00022E70">
        <w:t>7.</w:t>
      </w:r>
      <w:r w:rsidRPr="00022E70">
        <w:tab/>
        <w:t>pohvaljuje poboljšanja</w:t>
      </w:r>
      <w:r w:rsidR="008A735F">
        <w:t xml:space="preserve"> koja su u tijeku</w:t>
      </w:r>
      <w:r w:rsidRPr="00022E70">
        <w:t xml:space="preserve"> u području mehanizma za ugljičnu prilagodbu na granicama (CBAM), ali dovodi u pitanje zašto bi pojednostavnjenje Uredbe o CBAM-u trebalo dovesti do povećanja potreba u iznosu od 8 milijuna EUR, a ne do njihova smanjenja zbog povećanja učinkovitosti;</w:t>
      </w:r>
    </w:p>
    <w:p w14:paraId="203CF977" w14:textId="77777777" w:rsidR="00A47C43" w:rsidRPr="00022E70" w:rsidRDefault="00A47C43" w:rsidP="00A47C43">
      <w:pPr>
        <w:pStyle w:val="NormalHanging12a"/>
      </w:pPr>
      <w:r w:rsidRPr="00022E70">
        <w:t>8.</w:t>
      </w:r>
      <w:r w:rsidRPr="00022E70">
        <w:tab/>
        <w:t xml:space="preserve">nadalje, smatra upitnom kompenzaciju dodatnih potreba za centralizirani carinski sustav u naslovu 1. i za CBAM u naslovu 3. odgovarajućim smanjenjem dodijeljenih sredstava u okviru Instrumenta za opremu za carinske provjere u naslovu 4.; izražava žaljenje zbog toga što je zbog trenutačne proračunske situacije Komisija preraspodijelila znatna sredstva po naslovima i podsjeća na svoje dugogodišnje stajalište da bi novi </w:t>
      </w:r>
      <w:proofErr w:type="spellStart"/>
      <w:r w:rsidRPr="00022E70">
        <w:t>javnopolitički</w:t>
      </w:r>
      <w:proofErr w:type="spellEnd"/>
      <w:r w:rsidRPr="00022E70">
        <w:t xml:space="preserve"> prioriteti, zadaće ili potrebe trebali biti popraćeni novim novcem; snažno naglašava da opetovane preraspodjele nisu održiv način financiranja prioriteta Unije jer štete ulaganjima i ugrožavaju ostvarivanje dogovorenih ciljeva politike;</w:t>
      </w:r>
    </w:p>
    <w:p w14:paraId="5E3B1070" w14:textId="77777777" w:rsidR="00A47C43" w:rsidRPr="00022E70" w:rsidRDefault="00A47C43" w:rsidP="00A47C43">
      <w:pPr>
        <w:pStyle w:val="NormalHanging12a"/>
      </w:pPr>
      <w:r w:rsidRPr="00022E70">
        <w:t>9.</w:t>
      </w:r>
      <w:r w:rsidRPr="00022E70">
        <w:tab/>
        <w:t xml:space="preserve">ističe i pozdravlja činjenicu da će neke izmjene plana radnih mjesta Tijela EU-a za sprečavanje pranja novca toj agenciji omogućiti da pravodobno i učinkovito obavlja </w:t>
      </w:r>
      <w:r w:rsidRPr="00022E70">
        <w:lastRenderedPageBreak/>
        <w:t>svoje zadaće; podsjeća da ta ključna institucija ima središnju ulogu u zaštiti novca poreznih obveznika i da je Europski parlament snažno podupire;</w:t>
      </w:r>
    </w:p>
    <w:p w14:paraId="1AF27A19" w14:textId="77777777" w:rsidR="00A47C43" w:rsidRPr="00022E70" w:rsidRDefault="00A47C43" w:rsidP="00A47C43">
      <w:pPr>
        <w:pStyle w:val="NormalHanging12a"/>
      </w:pPr>
      <w:r w:rsidRPr="00022E70">
        <w:t>10.</w:t>
      </w:r>
      <w:r w:rsidRPr="00022E70">
        <w:tab/>
        <w:t>pozdravlja napredak Bugarske prema uvođenju eura te u potpunosti podržava izdvajanje dodatnih sredstava kako bi se prelazak na novu valutu popratio odgovarajućim i ciljanim komunikacijskim aktivnostima; potvrđuje da se zbog nepostojanja raspoloživih sredstava do gornje granice u naslovu 2.b u tu svrhu mora mobilizirati instrument fleksibilnosti;</w:t>
      </w:r>
    </w:p>
    <w:p w14:paraId="6342C9A7" w14:textId="77777777" w:rsidR="00A47C43" w:rsidRPr="00022E70" w:rsidRDefault="00A47C43" w:rsidP="00A47C43">
      <w:pPr>
        <w:pStyle w:val="NormalHanging12a"/>
      </w:pPr>
      <w:r w:rsidRPr="00022E70">
        <w:t>11.</w:t>
      </w:r>
      <w:r w:rsidRPr="00022E70">
        <w:tab/>
        <w:t>prihvaća stajalište Vijeća o Nacrtu izmjene proračuna br. 2/2025;</w:t>
      </w:r>
    </w:p>
    <w:p w14:paraId="143EEAD4" w14:textId="77777777" w:rsidR="00A47C43" w:rsidRPr="00022E70" w:rsidRDefault="00A47C43" w:rsidP="00A47C43">
      <w:pPr>
        <w:pStyle w:val="NormalHanging12a"/>
      </w:pPr>
      <w:r w:rsidRPr="00022E70">
        <w:t>12.</w:t>
      </w:r>
      <w:r w:rsidRPr="00022E70">
        <w:tab/>
        <w:t xml:space="preserve">nalaže svojoj predsjednici da proglasi izmjenu proračuna br. 2/2025 konačno donesenom i da je da na objavu u </w:t>
      </w:r>
      <w:r w:rsidRPr="00022E70">
        <w:rPr>
          <w:i/>
        </w:rPr>
        <w:t>Službenom listu Europske unije</w:t>
      </w:r>
      <w:r w:rsidRPr="00022E70">
        <w:t>;</w:t>
      </w:r>
    </w:p>
    <w:p w14:paraId="4CC394B7" w14:textId="67DC4D57" w:rsidR="00022E70" w:rsidRPr="00022E70" w:rsidRDefault="00A47C43" w:rsidP="00022E70">
      <w:pPr>
        <w:pStyle w:val="NormalHanging12a"/>
      </w:pPr>
      <w:r w:rsidRPr="00022E70">
        <w:t>13.</w:t>
      </w:r>
      <w:r w:rsidRPr="00022E70">
        <w:tab/>
        <w:t>nalaže svojoj predsjednici da ovu Rezoluciju proslijedi Vijeću, Komisiji, drugim relevantnim institucijama i tijelima te nacionalnim parlamentima.</w:t>
      </w:r>
    </w:p>
    <w:p w14:paraId="66083B21" w14:textId="3C56C7B9" w:rsidR="00E365E1" w:rsidRPr="00022E70" w:rsidRDefault="00E365E1" w:rsidP="00CE23E2"/>
    <w:sectPr w:rsidR="00E365E1" w:rsidRPr="00022E70" w:rsidSect="00022E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1B4F0" w14:textId="77777777" w:rsidR="00CE23E2" w:rsidRPr="00022E70" w:rsidRDefault="00CE23E2">
      <w:r w:rsidRPr="00022E70">
        <w:separator/>
      </w:r>
    </w:p>
  </w:endnote>
  <w:endnote w:type="continuationSeparator" w:id="0">
    <w:p w14:paraId="78807C70" w14:textId="77777777" w:rsidR="00CE23E2" w:rsidRPr="00022E70" w:rsidRDefault="00CE23E2">
      <w:r w:rsidRPr="00022E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0EEAC" w14:textId="77777777" w:rsidR="00064002" w:rsidRPr="00022E7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5811E" w14:textId="77777777" w:rsidR="00064002" w:rsidRPr="00022E7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DF6C7" w14:textId="77777777" w:rsidR="00064002" w:rsidRPr="00022E7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C1AAD" w14:textId="77777777" w:rsidR="00CE23E2" w:rsidRPr="00022E70" w:rsidRDefault="00CE23E2">
      <w:r w:rsidRPr="00022E70">
        <w:separator/>
      </w:r>
    </w:p>
  </w:footnote>
  <w:footnote w:type="continuationSeparator" w:id="0">
    <w:p w14:paraId="2F4A73C5" w14:textId="77777777" w:rsidR="00CE23E2" w:rsidRPr="00022E70" w:rsidRDefault="00CE23E2">
      <w:r w:rsidRPr="00022E70">
        <w:continuationSeparator/>
      </w:r>
    </w:p>
  </w:footnote>
  <w:footnote w:id="1">
    <w:p w14:paraId="0B05858A" w14:textId="4F17464B" w:rsidR="00A47C43" w:rsidRPr="00022E70" w:rsidRDefault="00A47C43" w:rsidP="00022E70">
      <w:pPr>
        <w:pStyle w:val="FootnoteText"/>
        <w:ind w:left="567" w:hanging="567"/>
        <w:rPr>
          <w:sz w:val="24"/>
          <w:lang w:val="hr-HR"/>
        </w:rPr>
      </w:pPr>
      <w:r w:rsidRPr="00022E70">
        <w:rPr>
          <w:rStyle w:val="FootnoteReference"/>
          <w:sz w:val="24"/>
          <w:lang w:val="hr-HR"/>
        </w:rPr>
        <w:footnoteRef/>
      </w:r>
      <w:r w:rsidR="00022E70" w:rsidRPr="00022E70">
        <w:rPr>
          <w:sz w:val="24"/>
          <w:lang w:val="hr-HR"/>
        </w:rPr>
        <w:t xml:space="preserve"> </w:t>
      </w:r>
      <w:r w:rsidR="00022E70" w:rsidRPr="00022E70">
        <w:rPr>
          <w:sz w:val="24"/>
          <w:lang w:val="hr-HR"/>
        </w:rPr>
        <w:tab/>
      </w:r>
      <w:r w:rsidRPr="00022E70">
        <w:rPr>
          <w:sz w:val="24"/>
          <w:lang w:val="hr-HR"/>
        </w:rPr>
        <w:t xml:space="preserve">SL L, 2024/2509, 26.9.2024., ELI: </w:t>
      </w:r>
      <w:hyperlink r:id="rId1" w:history="1">
        <w:r w:rsidRPr="00022E70">
          <w:rPr>
            <w:rStyle w:val="Hyperlink"/>
            <w:sz w:val="24"/>
            <w:lang w:val="hr-HR"/>
          </w:rPr>
          <w:t>http://data.europa.eu/eli/reg/2024/2509/oj</w:t>
        </w:r>
      </w:hyperlink>
      <w:r w:rsidRPr="00022E70">
        <w:rPr>
          <w:sz w:val="24"/>
          <w:lang w:val="hr-HR"/>
        </w:rPr>
        <w:t>.</w:t>
      </w:r>
    </w:p>
  </w:footnote>
  <w:footnote w:id="2">
    <w:p w14:paraId="6DE0B707" w14:textId="0BC92527" w:rsidR="00A47C43" w:rsidRPr="00022E70" w:rsidRDefault="00A47C43" w:rsidP="00022E70">
      <w:pPr>
        <w:pStyle w:val="FootnoteText"/>
        <w:ind w:left="567" w:hanging="567"/>
        <w:rPr>
          <w:rStyle w:val="Hyperlink"/>
          <w:sz w:val="24"/>
          <w:lang w:val="hr-HR"/>
        </w:rPr>
      </w:pPr>
      <w:r w:rsidRPr="00022E70">
        <w:rPr>
          <w:rStyle w:val="FootnoteReference"/>
          <w:sz w:val="24"/>
          <w:lang w:val="hr-HR"/>
        </w:rPr>
        <w:footnoteRef/>
      </w:r>
      <w:r w:rsidR="00022E70" w:rsidRPr="00022E70">
        <w:rPr>
          <w:sz w:val="24"/>
          <w:lang w:val="hr-HR"/>
        </w:rPr>
        <w:t xml:space="preserve"> </w:t>
      </w:r>
      <w:r w:rsidR="00022E70" w:rsidRPr="00022E70">
        <w:rPr>
          <w:sz w:val="24"/>
          <w:lang w:val="hr-HR"/>
        </w:rPr>
        <w:tab/>
      </w:r>
      <w:r w:rsidRPr="00022E70">
        <w:rPr>
          <w:sz w:val="24"/>
          <w:lang w:val="hr-HR"/>
        </w:rPr>
        <w:t xml:space="preserve">SL L, 2025/31, 27.2.2025., ELI: </w:t>
      </w:r>
      <w:hyperlink r:id="rId2" w:history="1">
        <w:r w:rsidRPr="00022E70">
          <w:rPr>
            <w:rStyle w:val="Hyperlink"/>
            <w:sz w:val="24"/>
            <w:lang w:val="hr-HR"/>
          </w:rPr>
          <w:t>http://data.europa.eu/eli/budget/2025/31/oj</w:t>
        </w:r>
      </w:hyperlink>
      <w:r w:rsidRPr="00022E70">
        <w:rPr>
          <w:rStyle w:val="Hyperlink"/>
          <w:sz w:val="24"/>
          <w:lang w:val="hr-HR"/>
        </w:rPr>
        <w:t>.</w:t>
      </w:r>
    </w:p>
  </w:footnote>
  <w:footnote w:id="3">
    <w:p w14:paraId="60DA74B6" w14:textId="10AB961F" w:rsidR="00A47C43" w:rsidRPr="00022E70" w:rsidRDefault="00A47C43" w:rsidP="00022E70">
      <w:pPr>
        <w:pStyle w:val="FootnoteText"/>
        <w:ind w:left="567" w:hanging="567"/>
        <w:rPr>
          <w:rStyle w:val="Hyperlink"/>
          <w:sz w:val="24"/>
          <w:lang w:val="hr-HR"/>
        </w:rPr>
      </w:pPr>
      <w:r w:rsidRPr="00022E70">
        <w:rPr>
          <w:rStyle w:val="FootnoteReference"/>
          <w:sz w:val="24"/>
          <w:lang w:val="hr-HR"/>
        </w:rPr>
        <w:footnoteRef/>
      </w:r>
      <w:r w:rsidR="00022E70" w:rsidRPr="00022E70">
        <w:rPr>
          <w:sz w:val="24"/>
          <w:lang w:val="hr-HR"/>
        </w:rPr>
        <w:t xml:space="preserve"> </w:t>
      </w:r>
      <w:r w:rsidR="00022E70" w:rsidRPr="00022E70">
        <w:rPr>
          <w:sz w:val="24"/>
          <w:lang w:val="hr-HR"/>
        </w:rPr>
        <w:tab/>
      </w:r>
      <w:r w:rsidRPr="00022E70">
        <w:rPr>
          <w:sz w:val="24"/>
          <w:lang w:val="hr-HR"/>
        </w:rPr>
        <w:t>SL L 433 I, 22.12.2020., str. </w:t>
      </w:r>
      <w:r w:rsidRPr="00022E70">
        <w:rPr>
          <w:sz w:val="24"/>
          <w:lang w:val="hr-HR"/>
        </w:rPr>
        <w:t xml:space="preserve">11., ELI: </w:t>
      </w:r>
      <w:hyperlink r:id="rId3" w:history="1">
        <w:r w:rsidRPr="00022E70">
          <w:rPr>
            <w:rStyle w:val="Hyperlink"/>
            <w:sz w:val="24"/>
            <w:lang w:val="hr-HR"/>
          </w:rPr>
          <w:t>http://data.europa.eu/eli/reg/2020/433/oj</w:t>
        </w:r>
      </w:hyperlink>
      <w:r w:rsidRPr="00022E70">
        <w:rPr>
          <w:rStyle w:val="Hyperlink"/>
          <w:sz w:val="24"/>
          <w:lang w:val="hr-HR"/>
        </w:rPr>
        <w:t>.</w:t>
      </w:r>
    </w:p>
  </w:footnote>
  <w:footnote w:id="4">
    <w:p w14:paraId="37BC5CFC" w14:textId="32F13757" w:rsidR="00A47C43" w:rsidRPr="00022E70" w:rsidRDefault="00A47C43" w:rsidP="00022E70">
      <w:pPr>
        <w:pStyle w:val="FootnoteText"/>
        <w:ind w:left="567" w:hanging="567"/>
        <w:rPr>
          <w:sz w:val="24"/>
          <w:lang w:val="hr-HR"/>
        </w:rPr>
      </w:pPr>
      <w:r w:rsidRPr="00022E70">
        <w:rPr>
          <w:rStyle w:val="FootnoteReference"/>
          <w:sz w:val="24"/>
          <w:lang w:val="hr-HR"/>
        </w:rPr>
        <w:footnoteRef/>
      </w:r>
      <w:r w:rsidR="00022E70" w:rsidRPr="00022E70">
        <w:rPr>
          <w:sz w:val="24"/>
          <w:lang w:val="hr-HR"/>
        </w:rPr>
        <w:t xml:space="preserve"> </w:t>
      </w:r>
      <w:r w:rsidR="00022E70" w:rsidRPr="00022E70">
        <w:rPr>
          <w:sz w:val="24"/>
          <w:lang w:val="hr-HR"/>
        </w:rPr>
        <w:tab/>
      </w:r>
      <w:r w:rsidRPr="00022E70">
        <w:rPr>
          <w:sz w:val="24"/>
          <w:lang w:val="hr-HR"/>
        </w:rPr>
        <w:t xml:space="preserve">SL L 433 I, 22.12.2020., str. </w:t>
      </w:r>
      <w:r w:rsidRPr="00022E70">
        <w:rPr>
          <w:sz w:val="24"/>
          <w:lang w:val="hr-HR"/>
        </w:rPr>
        <w:t xml:space="preserve">28., ELI: </w:t>
      </w:r>
      <w:hyperlink r:id="rId4" w:history="1">
        <w:r w:rsidRPr="00022E70">
          <w:rPr>
            <w:rStyle w:val="Hyperlink"/>
            <w:sz w:val="24"/>
            <w:lang w:val="hr-HR"/>
          </w:rPr>
          <w:t>http://data.europa.eu/eli/agree_interinstit/2020/1222/oj</w:t>
        </w:r>
      </w:hyperlink>
      <w:r w:rsidRPr="00022E70">
        <w:rPr>
          <w:rStyle w:val="Hyperlink"/>
          <w:sz w:val="24"/>
          <w:lang w:val="hr-HR"/>
        </w:rPr>
        <w:t>.</w:t>
      </w:r>
    </w:p>
  </w:footnote>
  <w:footnote w:id="5">
    <w:p w14:paraId="5047F47B" w14:textId="6864B686" w:rsidR="00A47C43" w:rsidRPr="00022E70" w:rsidRDefault="00A47C43" w:rsidP="00022E70">
      <w:pPr>
        <w:pStyle w:val="FootnoteText"/>
        <w:ind w:left="567" w:hanging="567"/>
        <w:rPr>
          <w:sz w:val="24"/>
          <w:lang w:val="hr-HR"/>
        </w:rPr>
      </w:pPr>
      <w:r w:rsidRPr="00022E70">
        <w:rPr>
          <w:rStyle w:val="FootnoteReference"/>
          <w:sz w:val="24"/>
          <w:lang w:val="hr-HR"/>
        </w:rPr>
        <w:footnoteRef/>
      </w:r>
      <w:r w:rsidR="00022E70" w:rsidRPr="00022E70">
        <w:rPr>
          <w:sz w:val="24"/>
          <w:lang w:val="hr-HR"/>
        </w:rPr>
        <w:t xml:space="preserve"> </w:t>
      </w:r>
      <w:r w:rsidR="00022E70" w:rsidRPr="00022E70">
        <w:rPr>
          <w:sz w:val="24"/>
          <w:lang w:val="hr-HR"/>
        </w:rPr>
        <w:tab/>
      </w:r>
      <w:r w:rsidRPr="00022E70">
        <w:rPr>
          <w:sz w:val="24"/>
          <w:lang w:val="hr-HR"/>
        </w:rPr>
        <w:t xml:space="preserve">SL L 424, 15.12.2020., str. </w:t>
      </w:r>
      <w:r w:rsidRPr="00022E70">
        <w:rPr>
          <w:sz w:val="24"/>
          <w:lang w:val="hr-HR"/>
        </w:rPr>
        <w:t xml:space="preserve">1., ELI: </w:t>
      </w:r>
      <w:hyperlink r:id="rId5" w:history="1">
        <w:r w:rsidRPr="00022E70">
          <w:rPr>
            <w:rStyle w:val="Hyperlink"/>
            <w:sz w:val="24"/>
            <w:lang w:val="hr-HR"/>
          </w:rPr>
          <w:t>http://data.europa.eu/eli/dec/2020/2053/oj</w:t>
        </w:r>
      </w:hyperlink>
      <w:r w:rsidRPr="00022E70">
        <w:rPr>
          <w:rStyle w:val="Hyperlink"/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4EEFC" w14:textId="77777777" w:rsidR="00064002" w:rsidRPr="00022E7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D6965" w14:textId="77777777" w:rsidR="00064002" w:rsidRPr="00022E7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16132" w14:textId="77777777" w:rsidR="00064002" w:rsidRPr="00022E7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5776370">
    <w:abstractNumId w:val="9"/>
  </w:num>
  <w:num w:numId="2" w16cid:durableId="308554969">
    <w:abstractNumId w:val="9"/>
  </w:num>
  <w:num w:numId="3" w16cid:durableId="1667901577">
    <w:abstractNumId w:val="7"/>
  </w:num>
  <w:num w:numId="4" w16cid:durableId="1767072416">
    <w:abstractNumId w:val="7"/>
  </w:num>
  <w:num w:numId="5" w16cid:durableId="247732301">
    <w:abstractNumId w:val="6"/>
  </w:num>
  <w:num w:numId="6" w16cid:durableId="436370005">
    <w:abstractNumId w:val="6"/>
  </w:num>
  <w:num w:numId="7" w16cid:durableId="1126897249">
    <w:abstractNumId w:val="5"/>
  </w:num>
  <w:num w:numId="8" w16cid:durableId="967246676">
    <w:abstractNumId w:val="5"/>
  </w:num>
  <w:num w:numId="9" w16cid:durableId="1733305966">
    <w:abstractNumId w:val="4"/>
  </w:num>
  <w:num w:numId="10" w16cid:durableId="1652513723">
    <w:abstractNumId w:val="4"/>
  </w:num>
  <w:num w:numId="11" w16cid:durableId="99834439">
    <w:abstractNumId w:val="8"/>
  </w:num>
  <w:num w:numId="12" w16cid:durableId="1814365527">
    <w:abstractNumId w:val="8"/>
  </w:num>
  <w:num w:numId="13" w16cid:durableId="2097968835">
    <w:abstractNumId w:val="3"/>
  </w:num>
  <w:num w:numId="14" w16cid:durableId="552812981">
    <w:abstractNumId w:val="3"/>
  </w:num>
  <w:num w:numId="15" w16cid:durableId="1940092183">
    <w:abstractNumId w:val="2"/>
  </w:num>
  <w:num w:numId="16" w16cid:durableId="86971944">
    <w:abstractNumId w:val="2"/>
  </w:num>
  <w:num w:numId="17" w16cid:durableId="166671323">
    <w:abstractNumId w:val="1"/>
  </w:num>
  <w:num w:numId="18" w16cid:durableId="2140025769">
    <w:abstractNumId w:val="1"/>
  </w:num>
  <w:num w:numId="19" w16cid:durableId="1334407414">
    <w:abstractNumId w:val="0"/>
  </w:num>
  <w:num w:numId="20" w16cid:durableId="291861067">
    <w:abstractNumId w:val="0"/>
  </w:num>
  <w:num w:numId="21" w16cid:durableId="73625394">
    <w:abstractNumId w:val="9"/>
  </w:num>
  <w:num w:numId="22" w16cid:durableId="2015567963">
    <w:abstractNumId w:val="7"/>
  </w:num>
  <w:num w:numId="23" w16cid:durableId="1502818027">
    <w:abstractNumId w:val="6"/>
  </w:num>
  <w:num w:numId="24" w16cid:durableId="2122453568">
    <w:abstractNumId w:val="5"/>
  </w:num>
  <w:num w:numId="25" w16cid:durableId="1996958185">
    <w:abstractNumId w:val="4"/>
  </w:num>
  <w:num w:numId="26" w16cid:durableId="2115201933">
    <w:abstractNumId w:val="8"/>
  </w:num>
  <w:num w:numId="27" w16cid:durableId="1012219565">
    <w:abstractNumId w:val="3"/>
  </w:num>
  <w:num w:numId="28" w16cid:durableId="1370030882">
    <w:abstractNumId w:val="2"/>
  </w:num>
  <w:num w:numId="29" w16cid:durableId="649865249">
    <w:abstractNumId w:val="1"/>
  </w:num>
  <w:num w:numId="30" w16cid:durableId="681278980">
    <w:abstractNumId w:val="0"/>
  </w:num>
  <w:num w:numId="31" w16cid:durableId="244581634">
    <w:abstractNumId w:val="9"/>
  </w:num>
  <w:num w:numId="32" w16cid:durableId="1144666819">
    <w:abstractNumId w:val="7"/>
  </w:num>
  <w:num w:numId="33" w16cid:durableId="1985306897">
    <w:abstractNumId w:val="6"/>
  </w:num>
  <w:num w:numId="34" w16cid:durableId="718289692">
    <w:abstractNumId w:val="5"/>
  </w:num>
  <w:num w:numId="35" w16cid:durableId="258762773">
    <w:abstractNumId w:val="4"/>
  </w:num>
  <w:num w:numId="36" w16cid:durableId="868252877">
    <w:abstractNumId w:val="8"/>
  </w:num>
  <w:num w:numId="37" w16cid:durableId="1252936480">
    <w:abstractNumId w:val="3"/>
  </w:num>
  <w:num w:numId="38" w16cid:durableId="1199053664">
    <w:abstractNumId w:val="2"/>
  </w:num>
  <w:num w:numId="39" w16cid:durableId="1952206950">
    <w:abstractNumId w:val="1"/>
  </w:num>
  <w:num w:numId="40" w16cid:durableId="1224684617">
    <w:abstractNumId w:val="0"/>
  </w:num>
  <w:num w:numId="41" w16cid:durableId="396130234">
    <w:abstractNumId w:val="10"/>
  </w:num>
  <w:num w:numId="42" w16cid:durableId="1937248348">
    <w:abstractNumId w:val="10"/>
  </w:num>
  <w:num w:numId="43" w16cid:durableId="104350962">
    <w:abstractNumId w:val="10"/>
  </w:num>
  <w:num w:numId="44" w16cid:durableId="20495250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5/2025"/>
    <w:docVar w:name="dvlangue" w:val="HR"/>
    <w:docVar w:name="dvnumam" w:val="0"/>
    <w:docVar w:name="dvpe" w:val="776.838"/>
    <w:docVar w:name="dvrapporteur" w:val="Izvjestitelj: "/>
    <w:docVar w:name="dvtitre" w:val="Rezolucija Europskog parlamenta od .... 2025. o stajalištu Vijeća o Nacrtu izmjene proračuna br. 2/2025 Europske unije za financijsku godinu 2025. – ažuriranje prihoda (vlastita sredstva) i prilagodbe rashoda(12353/2025 – C10-0209/2025 – 2025/0206(BUD))"/>
  </w:docVars>
  <w:rsids>
    <w:rsidRoot w:val="00CE23E2"/>
    <w:rsid w:val="00002272"/>
    <w:rsid w:val="00022E70"/>
    <w:rsid w:val="000322D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1E2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5C32"/>
    <w:rsid w:val="00786EC0"/>
    <w:rsid w:val="007D1690"/>
    <w:rsid w:val="007E189B"/>
    <w:rsid w:val="007E22AD"/>
    <w:rsid w:val="00817416"/>
    <w:rsid w:val="00842779"/>
    <w:rsid w:val="00865F67"/>
    <w:rsid w:val="00881A7B"/>
    <w:rsid w:val="008840E5"/>
    <w:rsid w:val="00887B3E"/>
    <w:rsid w:val="008A735F"/>
    <w:rsid w:val="008C2AC6"/>
    <w:rsid w:val="00930C23"/>
    <w:rsid w:val="0093193B"/>
    <w:rsid w:val="009419B9"/>
    <w:rsid w:val="009509D8"/>
    <w:rsid w:val="00950B64"/>
    <w:rsid w:val="00981893"/>
    <w:rsid w:val="00A1687D"/>
    <w:rsid w:val="00A43E52"/>
    <w:rsid w:val="00A4678D"/>
    <w:rsid w:val="00A47C43"/>
    <w:rsid w:val="00A778C7"/>
    <w:rsid w:val="00AB441E"/>
    <w:rsid w:val="00AB6293"/>
    <w:rsid w:val="00AE0928"/>
    <w:rsid w:val="00AF3B82"/>
    <w:rsid w:val="00B12E95"/>
    <w:rsid w:val="00B22876"/>
    <w:rsid w:val="00B558F0"/>
    <w:rsid w:val="00BA567C"/>
    <w:rsid w:val="00BD48FE"/>
    <w:rsid w:val="00BD7BD8"/>
    <w:rsid w:val="00BE6ADC"/>
    <w:rsid w:val="00C05BFE"/>
    <w:rsid w:val="00C23CD4"/>
    <w:rsid w:val="00C61C0C"/>
    <w:rsid w:val="00C941CB"/>
    <w:rsid w:val="00CC2357"/>
    <w:rsid w:val="00CE23E2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16F8"/>
    <w:rsid w:val="00F5134D"/>
    <w:rsid w:val="00F74202"/>
    <w:rsid w:val="00F87713"/>
    <w:rsid w:val="00FB4360"/>
    <w:rsid w:val="00FC019F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91205"/>
  <w15:chartTrackingRefBased/>
  <w15:docId w15:val="{B7FBDC34-0F9F-402F-8505-3D31B40DF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47C43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A47C43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A47C43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A47C43"/>
    <w:rPr>
      <w:sz w:val="24"/>
      <w:lang w:val="hr-HR"/>
    </w:rPr>
  </w:style>
  <w:style w:type="character" w:styleId="FollowedHyperlink">
    <w:name w:val="FollowedHyperlink"/>
    <w:basedOn w:val="DefaultParagraphFont"/>
    <w:rsid w:val="00BA567C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BA567C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0/433/oj" TargetMode="External"/><Relationship Id="rId2" Type="http://schemas.openxmlformats.org/officeDocument/2006/relationships/hyperlink" Target="http://data.europa.eu/eli/budget/2025/31/oj%20" TargetMode="External"/><Relationship Id="rId1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dec/2020/2053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1274</Words>
  <Characters>7551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2025-10-08T09:28:00Z</dcterms:created>
  <dcterms:modified xsi:type="dcterms:W3CDTF">2025-10-08T09:28:00Z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A10-0165/2025</vt:lpwstr>
  </property>
  <property fmtid="{D5CDD505-2E9C-101B-9397-08002B2CF9AE}" pid="4" name="&lt;Type&gt;">
    <vt:lpwstr>RR</vt:lpwstr>
  </property>
</Properties>
</file>