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E00D1" w14:paraId="5C47DEE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70789BD" w14:textId="1B6DE306" w:rsidR="00751A4A" w:rsidRPr="000E00D1" w:rsidRDefault="00785365" w:rsidP="0010095E">
            <w:pPr>
              <w:pStyle w:val="EPName"/>
            </w:pPr>
            <w:r w:rsidRPr="000E00D1">
              <w:t>Európai Parlament</w:t>
            </w:r>
          </w:p>
          <w:p w14:paraId="473BC12C" w14:textId="77777777" w:rsidR="00751A4A" w:rsidRPr="000E00D1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E00D1">
              <w:t>2024</w:t>
            </w:r>
            <w:r w:rsidR="00817416" w:rsidRPr="000E00D1">
              <w:t>-202</w:t>
            </w:r>
            <w:r w:rsidRPr="000E00D1">
              <w:t>9</w:t>
            </w:r>
          </w:p>
        </w:tc>
        <w:tc>
          <w:tcPr>
            <w:tcW w:w="2268" w:type="dxa"/>
            <w:shd w:val="clear" w:color="auto" w:fill="auto"/>
          </w:tcPr>
          <w:p w14:paraId="5A6E8096" w14:textId="77777777" w:rsidR="00751A4A" w:rsidRPr="000E00D1" w:rsidRDefault="00187494" w:rsidP="0010095E">
            <w:pPr>
              <w:pStyle w:val="EPLogo"/>
            </w:pPr>
            <w:r w:rsidRPr="000E00D1">
              <w:rPr>
                <w:noProof/>
                <w:lang w:eastAsia="ja-JP"/>
              </w:rPr>
              <w:drawing>
                <wp:inline distT="0" distB="0" distL="0" distR="0" wp14:anchorId="2E5637A7" wp14:editId="3CA1C4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3EE051" w14:textId="77777777" w:rsidR="00D058B8" w:rsidRPr="000E00D1" w:rsidRDefault="00D058B8" w:rsidP="004C5D52">
      <w:pPr>
        <w:pStyle w:val="LineTop"/>
      </w:pPr>
    </w:p>
    <w:p w14:paraId="23305733" w14:textId="7DB00BE9" w:rsidR="00680577" w:rsidRPr="000E00D1" w:rsidRDefault="00785365" w:rsidP="00680577">
      <w:pPr>
        <w:pStyle w:val="EPBodyTA1"/>
      </w:pPr>
      <w:r w:rsidRPr="000E00D1">
        <w:t>ELFOGADOTT SZÖVEGEK</w:t>
      </w:r>
    </w:p>
    <w:p w14:paraId="108DF5DB" w14:textId="77777777" w:rsidR="00D058B8" w:rsidRPr="000E00D1" w:rsidRDefault="00D058B8" w:rsidP="00D058B8">
      <w:pPr>
        <w:pStyle w:val="LineBottom"/>
      </w:pPr>
    </w:p>
    <w:p w14:paraId="718066A6" w14:textId="5050A2BD" w:rsidR="00785365" w:rsidRPr="000E00D1" w:rsidRDefault="00785365" w:rsidP="00785365">
      <w:pPr>
        <w:pStyle w:val="ATHeading1"/>
      </w:pPr>
      <w:bookmarkStart w:id="0" w:name="TANumber"/>
      <w:r w:rsidRPr="000E00D1">
        <w:t>P10_TA(2025)0</w:t>
      </w:r>
      <w:r w:rsidR="00D708AA">
        <w:t>218</w:t>
      </w:r>
      <w:bookmarkEnd w:id="0"/>
    </w:p>
    <w:p w14:paraId="4FCDD01E" w14:textId="77777777" w:rsidR="00785365" w:rsidRPr="000E00D1" w:rsidRDefault="00785365" w:rsidP="00785365">
      <w:pPr>
        <w:pStyle w:val="ATHeading2"/>
      </w:pPr>
      <w:bookmarkStart w:id="1" w:name="title"/>
      <w:r w:rsidRPr="000E00D1">
        <w:t>A 2/2025. számú költségvetés-módosítási tervezet – a bevételek (saját források) aktualizálása és a kiadások kiigazítása</w:t>
      </w:r>
      <w:bookmarkEnd w:id="1"/>
    </w:p>
    <w:p w14:paraId="158D8F4A" w14:textId="77777777" w:rsidR="00785365" w:rsidRPr="000E00D1" w:rsidRDefault="00785365" w:rsidP="00785365">
      <w:pPr>
        <w:rPr>
          <w:i/>
          <w:vanish/>
        </w:rPr>
      </w:pPr>
      <w:r w:rsidRPr="000E00D1">
        <w:rPr>
          <w:i/>
        </w:rPr>
        <w:fldChar w:fldCharType="begin"/>
      </w:r>
      <w:r w:rsidRPr="000E00D1">
        <w:rPr>
          <w:i/>
        </w:rPr>
        <w:instrText xml:space="preserve"> TC"(</w:instrText>
      </w:r>
      <w:bookmarkStart w:id="2" w:name="DocNumber"/>
      <w:r w:rsidRPr="000E00D1">
        <w:rPr>
          <w:i/>
        </w:rPr>
        <w:instrText>A10-0165/2025</w:instrText>
      </w:r>
      <w:bookmarkEnd w:id="2"/>
      <w:r w:rsidRPr="000E00D1">
        <w:rPr>
          <w:i/>
        </w:rPr>
        <w:instrText xml:space="preserve"> - Előadó: Victor Negrescu)"\l3 \n&gt; \* MERGEFORMAT </w:instrText>
      </w:r>
      <w:r w:rsidRPr="000E00D1">
        <w:rPr>
          <w:i/>
        </w:rPr>
        <w:fldChar w:fldCharType="end"/>
      </w:r>
    </w:p>
    <w:p w14:paraId="19720A45" w14:textId="77777777" w:rsidR="00785365" w:rsidRPr="000E00D1" w:rsidRDefault="00785365" w:rsidP="00785365">
      <w:pPr>
        <w:rPr>
          <w:vanish/>
        </w:rPr>
      </w:pPr>
      <w:bookmarkStart w:id="3" w:name="Commission"/>
      <w:r w:rsidRPr="000E00D1">
        <w:rPr>
          <w:vanish/>
        </w:rPr>
        <w:t>Költségvetési Bizottság</w:t>
      </w:r>
      <w:bookmarkEnd w:id="3"/>
    </w:p>
    <w:p w14:paraId="28645BA2" w14:textId="77777777" w:rsidR="00785365" w:rsidRPr="000E00D1" w:rsidRDefault="00785365" w:rsidP="00785365">
      <w:pPr>
        <w:rPr>
          <w:vanish/>
        </w:rPr>
      </w:pPr>
      <w:bookmarkStart w:id="4" w:name="PE"/>
      <w:r w:rsidRPr="000E00D1">
        <w:rPr>
          <w:vanish/>
        </w:rPr>
        <w:t>PE776.838</w:t>
      </w:r>
      <w:bookmarkEnd w:id="4"/>
    </w:p>
    <w:p w14:paraId="05D444FE" w14:textId="543C9DFF" w:rsidR="00785365" w:rsidRPr="000E00D1" w:rsidRDefault="00785365" w:rsidP="00785365">
      <w:pPr>
        <w:pStyle w:val="ATHeading3"/>
      </w:pPr>
      <w:bookmarkStart w:id="5" w:name="Sujet"/>
      <w:r w:rsidRPr="000E00D1">
        <w:t xml:space="preserve">Az Európai Parlament 2025. </w:t>
      </w:r>
      <w:r w:rsidR="00047409" w:rsidRPr="000E00D1">
        <w:t>október 8</w:t>
      </w:r>
      <w:r w:rsidRPr="000E00D1">
        <w:t>-i állásfoglalása az Európai Unió 2025. évi pénzügyi évre vonatkozó, 2/2025. számú költségvetés-módosítási tervezetéről (A bevételek [saját források] aktualizálása és a kiadások kiigazításai) szóló tanácsi álláspontról</w:t>
      </w:r>
      <w:bookmarkEnd w:id="5"/>
      <w:r w:rsidRPr="000E00D1">
        <w:t xml:space="preserve"> </w:t>
      </w:r>
      <w:bookmarkStart w:id="6" w:name="References"/>
      <w:r w:rsidRPr="000E00D1">
        <w:t>(12353/2025 – C10-0209/2025 – 2025/0206(BUD))</w:t>
      </w:r>
      <w:bookmarkEnd w:id="6"/>
    </w:p>
    <w:p w14:paraId="4954C870" w14:textId="77777777" w:rsidR="00A06E2C" w:rsidRPr="000E00D1" w:rsidRDefault="00A06E2C" w:rsidP="00A06E2C">
      <w:pPr>
        <w:pStyle w:val="EPComma"/>
      </w:pPr>
      <w:bookmarkStart w:id="7" w:name="TextBodyBegin"/>
      <w:bookmarkEnd w:id="7"/>
      <w:r w:rsidRPr="000E00D1">
        <w:rPr>
          <w:i/>
        </w:rPr>
        <w:t>Az Európai Parlament</w:t>
      </w:r>
      <w:r w:rsidRPr="000E00D1">
        <w:t>,</w:t>
      </w:r>
    </w:p>
    <w:p w14:paraId="549A43EF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az Európai Unió működéséről szóló szerződés 314. cikkére,</w:t>
      </w:r>
    </w:p>
    <w:p w14:paraId="3D2CFA19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az Európai Atomenergia-közösséget létrehozó szerződés 106a. cikkére,</w:t>
      </w:r>
    </w:p>
    <w:p w14:paraId="0183557F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az Unió általános költségvetésére alkalmazandó pénzügyi szabályokról szóló, 2024. szeptember 23-i (EU, Euratom) 2024/2509 európai parlamenti és tanácsi rendeletre</w:t>
      </w:r>
      <w:r w:rsidRPr="000E00D1">
        <w:rPr>
          <w:rStyle w:val="FootnoteReference"/>
        </w:rPr>
        <w:footnoteReference w:id="1"/>
      </w:r>
      <w:r w:rsidRPr="000E00D1">
        <w:t xml:space="preserve"> és különösen annak 44. cikkére,</w:t>
      </w:r>
    </w:p>
    <w:p w14:paraId="26739665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az Európai Unió 2025. évi pénzügyi évre vonatkozó általános költségvetésére, amelyet 2024. november 27-én fogadtak el véglegesen</w:t>
      </w:r>
      <w:r w:rsidRPr="000E00D1">
        <w:rPr>
          <w:rStyle w:val="FootnoteReference"/>
        </w:rPr>
        <w:footnoteReference w:id="2"/>
      </w:r>
      <w:r w:rsidRPr="000E00D1">
        <w:t>,</w:t>
      </w:r>
    </w:p>
    <w:p w14:paraId="3B5D6F71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 2021–2027-es időszakra vonatkozó többéves pénzügyi keretről szóló, 2020. december 17-i (EU, Euratom) 2020/2093 tanácsi rendeletre</w:t>
      </w:r>
      <w:r w:rsidRPr="000E00D1">
        <w:rPr>
          <w:rStyle w:val="FootnoteReference"/>
        </w:rPr>
        <w:footnoteReference w:id="3"/>
      </w:r>
      <w:r w:rsidRPr="000E00D1">
        <w:t>,</w:t>
      </w:r>
    </w:p>
    <w:p w14:paraId="0A8923B9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az Európai Parlament, az Európai Unió Tanácsa és az Európai Bizottság között a költségvetési fegyelemről, a költségvetési ügyekben való együttműködésről és a hatékony és eredményes pénzgazdálkodásról, valamint az új saját forrásokról és az új saját források bevezetésére irányuló ütemtervről szóló, 2020. december 16-i intézményközi megállapodásra</w:t>
      </w:r>
      <w:r w:rsidRPr="000E00D1">
        <w:rPr>
          <w:rStyle w:val="FootnoteReference"/>
        </w:rPr>
        <w:footnoteReference w:id="4"/>
      </w:r>
      <w:r w:rsidRPr="000E00D1">
        <w:t>,</w:t>
      </w:r>
    </w:p>
    <w:p w14:paraId="4A2C2DF3" w14:textId="77777777" w:rsidR="00A06E2C" w:rsidRPr="000E00D1" w:rsidRDefault="00A06E2C" w:rsidP="00047409">
      <w:pPr>
        <w:pStyle w:val="NormalHanging12a"/>
        <w:widowControl/>
      </w:pPr>
      <w:r w:rsidRPr="000E00D1">
        <w:lastRenderedPageBreak/>
        <w:t>–</w:t>
      </w:r>
      <w:r w:rsidRPr="000E00D1">
        <w:tab/>
        <w:t>tekintettel az Európai Unió saját forrásainak rendszeréről és a 2014/335/EU, Euratom határozat hatályon kívül helyezéséről szóló, 2020. december 14-i (EU, Euratom) 2020/2053 tanácsi határozatra</w:t>
      </w:r>
      <w:r w:rsidRPr="000E00D1">
        <w:rPr>
          <w:rStyle w:val="FootnoteReference"/>
        </w:rPr>
        <w:footnoteReference w:id="5"/>
      </w:r>
      <w:r w:rsidRPr="000E00D1">
        <w:t>,</w:t>
      </w:r>
    </w:p>
    <w:p w14:paraId="1BEB9088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 Bizottság által 2025. július 4-én elfogadott, 2/2025. számú költségvetés-módosítási tervezetre (</w:t>
      </w:r>
      <w:proofErr w:type="gramStart"/>
      <w:r w:rsidRPr="000E00D1">
        <w:t>COM(</w:t>
      </w:r>
      <w:proofErr w:type="gramEnd"/>
      <w:r w:rsidRPr="000E00D1">
        <w:t>2025)0410),</w:t>
      </w:r>
    </w:p>
    <w:p w14:paraId="37146F4C" w14:textId="19C18956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 Tanács által 2025. szeptember 16-án elfogadott, és az Európai Parlamentnek 2025. szeptember 17-én továbbított, a 2/2025. számú költségvetés-módosítási tervezetről szóló álláspontra (12353/202</w:t>
      </w:r>
      <w:r w:rsidR="006604D1">
        <w:t>5</w:t>
      </w:r>
      <w:r w:rsidRPr="000E00D1">
        <w:t xml:space="preserve"> – C10</w:t>
      </w:r>
      <w:r w:rsidRPr="000E00D1">
        <w:noBreakHyphen/>
        <w:t>0209/2025),</w:t>
      </w:r>
    </w:p>
    <w:p w14:paraId="25FE91CD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eljárási szabályzata 96. és 98. cikkére,</w:t>
      </w:r>
    </w:p>
    <w:p w14:paraId="322C1B1F" w14:textId="77777777" w:rsidR="00A06E2C" w:rsidRPr="000E00D1" w:rsidRDefault="00A06E2C" w:rsidP="00047409">
      <w:pPr>
        <w:pStyle w:val="NormalHanging12a"/>
        <w:widowControl/>
      </w:pPr>
      <w:r w:rsidRPr="000E00D1">
        <w:t>–</w:t>
      </w:r>
      <w:r w:rsidRPr="000E00D1">
        <w:tab/>
        <w:t>tekintettel a Költségvetési Bizottság jelentésére (A10-0165/2025),</w:t>
      </w:r>
    </w:p>
    <w:p w14:paraId="61195032" w14:textId="77777777" w:rsidR="00A06E2C" w:rsidRPr="000E00D1" w:rsidRDefault="00A06E2C" w:rsidP="00047409">
      <w:pPr>
        <w:pStyle w:val="NormalHanging12a"/>
        <w:widowControl/>
      </w:pPr>
      <w:r w:rsidRPr="000E00D1">
        <w:t>A.</w:t>
      </w:r>
      <w:r w:rsidRPr="000E00D1">
        <w:tab/>
        <w:t>mivel a 2/2025. számú költségvetés-módosítási tervezet célja a költségvetés bevételi oldalának aktualizálása a legújabb fejlemények figyelembevétele érdekében, továbbá a költségvetés kiadási oldalának kiigazítása számos kiadási tétel vonatkozásában,</w:t>
      </w:r>
    </w:p>
    <w:p w14:paraId="23268980" w14:textId="77777777" w:rsidR="00A06E2C" w:rsidRPr="000E00D1" w:rsidRDefault="00A06E2C" w:rsidP="00047409">
      <w:pPr>
        <w:pStyle w:val="NormalHanging12a"/>
        <w:widowControl/>
      </w:pPr>
      <w:r w:rsidRPr="000E00D1">
        <w:t>B.</w:t>
      </w:r>
      <w:r w:rsidRPr="000E00D1">
        <w:tab/>
        <w:t xml:space="preserve">mivel a 2/2025. számú költségvetés-módosítási tervezet magában foglalja a saját forrásokra vonatkozó előrejelzések felülvizsgálatát a vámokhoz kapcsolódóan, amelyek 1 %-kal alacsonyabbak a 2024. májusi előrejelzésnél, a maximált </w:t>
      </w:r>
      <w:proofErr w:type="spellStart"/>
      <w:r w:rsidRPr="000E00D1">
        <w:t>héaalaphoz</w:t>
      </w:r>
      <w:proofErr w:type="spellEnd"/>
      <w:r w:rsidRPr="000E00D1">
        <w:t xml:space="preserve"> kapcsolódóan, amely 2,4 %-kal alacsonyabb a 2024. májusi előrejelzésnél, a nem </w:t>
      </w:r>
      <w:proofErr w:type="spellStart"/>
      <w:r w:rsidRPr="000E00D1">
        <w:t>újrafeldolgozott</w:t>
      </w:r>
      <w:proofErr w:type="spellEnd"/>
      <w:r w:rsidRPr="000E00D1">
        <w:t xml:space="preserve"> műanyag csomagolási hulladékhoz kapcsolódóan, amely 3,5 %-kal alacsonyabb a 2024. májusi előrejelzéshez képest, valamint a teljes uniós GNI-alaphoz kapcsolódóan, amely a 2024. májusi előrejelzéshez képest 0,5 %-os növekedést mutat;</w:t>
      </w:r>
    </w:p>
    <w:p w14:paraId="1875A63B" w14:textId="77777777" w:rsidR="00A06E2C" w:rsidRPr="000E00D1" w:rsidRDefault="00A06E2C" w:rsidP="00047409">
      <w:pPr>
        <w:pStyle w:val="NormalHanging12a"/>
        <w:widowControl/>
      </w:pPr>
      <w:r w:rsidRPr="000E00D1">
        <w:t>C.</w:t>
      </w:r>
      <w:r w:rsidRPr="000E00D1">
        <w:tab/>
        <w:t>mivel a 2/2025. számú költségvetés-módosítási tervezet aktualizálja az Egyesült Királyságnak a kilépésről rendelkező megállapodás szerinti 2025. évi hozzájárulását is, amely 1,53 milliárd EUR-t tesz ki, ami mérsékelt, 25 millió EUR összegű csökkenést jelent a 2025. évi költségvetésben szereplő becsléshez képest;</w:t>
      </w:r>
    </w:p>
    <w:p w14:paraId="7476D7C8" w14:textId="77777777" w:rsidR="00A06E2C" w:rsidRPr="000E00D1" w:rsidRDefault="00A06E2C" w:rsidP="00047409">
      <w:pPr>
        <w:pStyle w:val="NormalHanging12a"/>
        <w:widowControl/>
      </w:pPr>
      <w:r w:rsidRPr="000E00D1">
        <w:t>D.</w:t>
      </w:r>
      <w:r w:rsidRPr="000E00D1">
        <w:tab/>
        <w:t>mivel a 2/2025. számú költségvetés-módosítási tervezet figyelembe veszi a 2025. május végéig beszedett pénzbírságokat, szankciókat és negatív hozamot is, ami 291 millió EUR-val növeli a 2025. évi költségvetésben a pénzbírságokra és büntetésekre vonatkozó eredeti előrejelzést,</w:t>
      </w:r>
    </w:p>
    <w:p w14:paraId="0E411642" w14:textId="77777777" w:rsidR="00A06E2C" w:rsidRPr="000E00D1" w:rsidRDefault="00A06E2C" w:rsidP="00047409">
      <w:pPr>
        <w:pStyle w:val="NormalHanging12a"/>
        <w:widowControl/>
      </w:pPr>
      <w:r w:rsidRPr="000E00D1">
        <w:t>E.</w:t>
      </w:r>
      <w:r w:rsidRPr="000E00D1">
        <w:tab/>
        <w:t>mivel a kiadási oldalt illetően a 2/2025. számú költségvetés-módosítási tervezet számos ponton a kötelezettségvállalási és kifizetési előirányzatok aktualizálását javasolja, legfőképpen az Európai Mezőgazdasági Vidékfejlesztési Alap kifizetéseinek 3,5 milliárd EUR összegű emelését,</w:t>
      </w:r>
    </w:p>
    <w:p w14:paraId="71FFAC87" w14:textId="77777777" w:rsidR="00A06E2C" w:rsidRPr="000E00D1" w:rsidRDefault="00A06E2C" w:rsidP="00047409">
      <w:pPr>
        <w:pStyle w:val="NormalHanging12a"/>
        <w:widowControl/>
      </w:pPr>
      <w:r w:rsidRPr="000E00D1">
        <w:t>1.</w:t>
      </w:r>
      <w:r w:rsidRPr="000E00D1">
        <w:tab/>
        <w:t>tudomásul veszi az 2/2025. számú költségvetés-módosítási tervezetet, annak a Bizottság által benyújtott formájában;</w:t>
      </w:r>
    </w:p>
    <w:p w14:paraId="788AACFA" w14:textId="77777777" w:rsidR="00A06E2C" w:rsidRPr="000E00D1" w:rsidRDefault="00A06E2C" w:rsidP="00047409">
      <w:pPr>
        <w:pStyle w:val="NormalHanging12a"/>
        <w:widowControl/>
      </w:pPr>
      <w:r w:rsidRPr="000E00D1">
        <w:t>2.</w:t>
      </w:r>
      <w:r w:rsidRPr="000E00D1">
        <w:tab/>
        <w:t>tudomásul veszi, hogy a GNI-</w:t>
      </w:r>
      <w:proofErr w:type="spellStart"/>
      <w:r w:rsidRPr="000E00D1">
        <w:t>től</w:t>
      </w:r>
      <w:proofErr w:type="spellEnd"/>
      <w:r w:rsidRPr="000E00D1">
        <w:t xml:space="preserve"> eltérő saját források összegének csökkenése és a kiadási oldalon jelentkező további kifizetési igények összességében 4,3 milliárd EUR-val növelik a további GNI-hozzájárulások iránti igényt; elismeri, hogy ez azt jelenti, hogy a GNI-alapú saját forrás lehívási kulcsát 0,527%-</w:t>
      </w:r>
      <w:proofErr w:type="spellStart"/>
      <w:r w:rsidRPr="000E00D1">
        <w:t>ról</w:t>
      </w:r>
      <w:proofErr w:type="spellEnd"/>
      <w:r w:rsidRPr="000E00D1">
        <w:t xml:space="preserve"> (1/2025. sz. költségvetés-</w:t>
      </w:r>
      <w:r w:rsidRPr="000E00D1">
        <w:lastRenderedPageBreak/>
        <w:t>módosítási tervezet) 0,547%-</w:t>
      </w:r>
      <w:proofErr w:type="spellStart"/>
      <w:r w:rsidRPr="000E00D1">
        <w:t>ra</w:t>
      </w:r>
      <w:proofErr w:type="spellEnd"/>
      <w:r w:rsidRPr="000E00D1">
        <w:t xml:space="preserve"> módosítják a 2/2025. sz. költségvetés-módosítási tervezetben;</w:t>
      </w:r>
    </w:p>
    <w:p w14:paraId="7B1AEF6C" w14:textId="77777777" w:rsidR="00A06E2C" w:rsidRPr="000E00D1" w:rsidRDefault="00A06E2C" w:rsidP="00047409">
      <w:pPr>
        <w:pStyle w:val="NormalHanging12a"/>
        <w:widowControl/>
      </w:pPr>
      <w:r w:rsidRPr="000E00D1">
        <w:t>3.</w:t>
      </w:r>
      <w:r w:rsidRPr="000E00D1">
        <w:tab/>
        <w:t xml:space="preserve">hangsúlyozza, hogy a 2/2025. számú költségvetés-módosítási tervezet alapján az öt kedvezményezett tagállam esetében a GNI-alapú egyösszegű csökkentések közel (bruttó) 9,2 milliárd EUR-t tesznek ki; hangsúlyozza, hogy ezek a visszatérítések inflációhoz kötöttek, és ezért nagyobb mértékben emelkedtek, mint a többéves pénzügyi keret felső határai, amelyeket évente igazítanak ki a 2 %-os </w:t>
      </w:r>
      <w:proofErr w:type="spellStart"/>
      <w:r w:rsidRPr="000E00D1">
        <w:t>deflátor</w:t>
      </w:r>
      <w:proofErr w:type="spellEnd"/>
      <w:r w:rsidRPr="000E00D1">
        <w:t xml:space="preserve"> alapján; kiemeli, hogy az uniós költségvetést jelentősen túlterhelték, hogy reagálni tudjon az elmúlt néhány év különböző válsághelyzeteire; hangsúlyozza, hogy ez a visszatérítésekkel kapcsolatos anomália növeli a többi tagállamra nehezedő </w:t>
      </w:r>
      <w:proofErr w:type="spellStart"/>
      <w:r w:rsidRPr="000E00D1">
        <w:t>terheket</w:t>
      </w:r>
      <w:proofErr w:type="spellEnd"/>
      <w:r w:rsidRPr="000E00D1">
        <w:t>;</w:t>
      </w:r>
    </w:p>
    <w:p w14:paraId="53600522" w14:textId="77777777" w:rsidR="00A06E2C" w:rsidRPr="000E00D1" w:rsidRDefault="00A06E2C" w:rsidP="00047409">
      <w:pPr>
        <w:pStyle w:val="NormalHanging12a"/>
        <w:widowControl/>
      </w:pPr>
      <w:r w:rsidRPr="000E00D1">
        <w:t>4.</w:t>
      </w:r>
      <w:r w:rsidRPr="000E00D1">
        <w:tab/>
        <w:t xml:space="preserve">üdvözli a Bizottság arra irányuló újabb erőfeszítéseit, hogy több lehetőséget mutasson be az uniós költségvetés új bevételi forrásaira vonatkozóan; ezzel összefüggésben tudomásul veszi az Európai Unió saját forrásainak rendszeréről szóló tanácsi határozatra irányuló, 2025. július 16-i bizottsági javaslatot; úgy véli, hogy az új saját forrásokat mielőbb el kell fogadni a költségvetés rendelkezésére álló források növelése érdekében; hangsúlyozza, hogy az új saját forrásoknak igazságosnak kell lenniük és nemcsak a </w:t>
      </w:r>
      <w:proofErr w:type="spellStart"/>
      <w:r w:rsidRPr="000E00D1">
        <w:t>NextGenerationEU</w:t>
      </w:r>
      <w:proofErr w:type="spellEnd"/>
      <w:r w:rsidRPr="000E00D1">
        <w:t>-hitelek visszafizetéséhez elengedhetetlenek, hanem ahhoz is, hogy az Unió rendelkezzen a magasabb kiadási igények fedezéséhez szükséges eszközökkel; ezzel összefüggésben emlékeztet régóta képviselt álláspontjára, amely szerint a pénzbírságokból és szankciókból vagy azokkal egyenértékű összegekből származó rendkívüli bevételeket az uniós költségvetés kiegészítő bevételeként kell felhasználni válságreagálás vagy váratlan szükségletek fedezésére, és az ilyen bevételek nem vezethetnek a GNI-alapú hozzájárulások ennek megfelelő csökkenéséhez; hangsúlyozza, hogy a jelenlegi többéves pénzügyi keretben ezek az összegek visszakerülnek a tagállamokhoz;</w:t>
      </w:r>
    </w:p>
    <w:p w14:paraId="25B1CFC8" w14:textId="77777777" w:rsidR="00A06E2C" w:rsidRPr="000E00D1" w:rsidRDefault="00A06E2C" w:rsidP="00047409">
      <w:pPr>
        <w:pStyle w:val="NormalHanging12a"/>
        <w:widowControl/>
      </w:pPr>
      <w:r w:rsidRPr="000E00D1">
        <w:t>5.</w:t>
      </w:r>
      <w:r w:rsidRPr="000E00D1">
        <w:tab/>
        <w:t>hangsúlyozza, hogy a közelmúltbeli válságok – világjárvány, energiasokkok és az ukrajnai háború – tanulságai miatt a következő többéves pénzügyi keretben komolyan át kell gondolni a rugalmasságot; megismétli azon álláspontját, hogy a jövőbeli Rugalmassági Eszközt számos további forráson keresztül kell finanszírozni, beleértve az előző évből származó éves többletet, a bírságokat és a befolyó bevételeket; tudomásul veszi a többéves pénzügyi keretről szóló rendeletjavaslat vonatkozó rendelkezéseit, amelyekben a Bizottság javasolja, hogy a Parlament régóta fennálló kéréseivel összhangban bizonyos összegekkel egészítsék ki a Rugalmassági Eszközt; emlékeztet azonban arra, hogy a rugalmasság nem mehet az átláthatóság rovására;</w:t>
      </w:r>
    </w:p>
    <w:p w14:paraId="317CEABF" w14:textId="77777777" w:rsidR="00A06E2C" w:rsidRPr="000E00D1" w:rsidRDefault="00A06E2C" w:rsidP="00047409">
      <w:pPr>
        <w:pStyle w:val="NormalHanging12a"/>
        <w:widowControl/>
      </w:pPr>
      <w:r w:rsidRPr="000E00D1">
        <w:t>6.</w:t>
      </w:r>
      <w:r w:rsidRPr="000E00D1">
        <w:tab/>
        <w:t>üdvözli a Vidékfejlesztési Alap kifizetési előirányzatainak felfelé történő kiigazítását, ami azt jelzi, hogy a KAP 2023–2027 közötti időszakra szóló stratégiai terveinek végrehajtása, valamint a 2014–2020 közötti időszakra szóló programok keretében végrehajtott beavatkozások felgyorsulnak, és ezáltal a korábbi költségvetési évekből származó késedelmek kiegyenlítésre kerülnek;</w:t>
      </w:r>
    </w:p>
    <w:p w14:paraId="204678FB" w14:textId="77777777" w:rsidR="00A06E2C" w:rsidRPr="000E00D1" w:rsidRDefault="00A06E2C" w:rsidP="00047409">
      <w:pPr>
        <w:pStyle w:val="NormalHanging12a"/>
        <w:widowControl/>
      </w:pPr>
      <w:r w:rsidRPr="000E00D1">
        <w:t>7.</w:t>
      </w:r>
      <w:r w:rsidRPr="000E00D1">
        <w:tab/>
        <w:t>elismerését fejezi ki az importáruk karbonintenzitását ellensúlyozó mechanizmus (CBAM) terén folyamatban lévő fejlesztésekért, ugyanakkor felteszi a kérdést, hogy a CBAM-rendelet egyszerűsítése miért a szükségletek 8 millió EUR nagyságrendű növekedését vonná maga után és nem a csökkenését, a hatékonyság növekedésének köszönhetően;</w:t>
      </w:r>
    </w:p>
    <w:p w14:paraId="4A9BF59F" w14:textId="77777777" w:rsidR="00A06E2C" w:rsidRPr="000E00D1" w:rsidRDefault="00A06E2C" w:rsidP="00047409">
      <w:pPr>
        <w:pStyle w:val="NormalHanging12a"/>
        <w:widowControl/>
      </w:pPr>
      <w:r w:rsidRPr="000E00D1">
        <w:lastRenderedPageBreak/>
        <w:t>8.</w:t>
      </w:r>
      <w:r w:rsidRPr="000E00D1">
        <w:tab/>
        <w:t>megkérdőjelezhetőnek tartja továbbá azt, hogy az 1. fejezetben a központosított vámrendszerhez és a 3. fejezetben a CBAM-</w:t>
      </w:r>
      <w:proofErr w:type="spellStart"/>
      <w:r w:rsidRPr="000E00D1">
        <w:t>hez</w:t>
      </w:r>
      <w:proofErr w:type="spellEnd"/>
      <w:r w:rsidRPr="000E00D1">
        <w:t xml:space="preserve"> kapcsolódó többletszükségleteket a 4. fejezetben található, vámellenőrzési berendezések pénzügyi támogató eszköze előirányzatainak arányos csökkentésével kompenzálják; sajnálatát fejezi ki amiatt, hogy a jelenlegi költségvetési helyzet arra késztette a Bizottságot, hogy jelentős forrásokat csoportosítson át a fejezetek között, és emlékeztet régóta hangoztatott álláspontjára, amely szerint az új szakpolitikai prioritásokhoz, feladatokhoz vagy szükségletekhez új pénzeszközöket kell rendelni; határozottan hangsúlyozza, hogy az ismétlődő átcsoportosítások nem jelentik az Unió prioritásai finanszírozásának életképes módját, mivel ezek ártanak a beruházásoknak és veszélyeztetik az elfogadott szakpolitikai célkitűzések megvalósítását;</w:t>
      </w:r>
    </w:p>
    <w:p w14:paraId="5C2AB6B1" w14:textId="77777777" w:rsidR="00A06E2C" w:rsidRPr="000E00D1" w:rsidRDefault="00A06E2C" w:rsidP="00047409">
      <w:pPr>
        <w:pStyle w:val="NormalHanging12a"/>
        <w:widowControl/>
      </w:pPr>
      <w:r w:rsidRPr="000E00D1">
        <w:t>9.</w:t>
      </w:r>
      <w:r w:rsidRPr="000E00D1">
        <w:tab/>
        <w:t>kiemeli és üdvözli, hogy az EU Pénzmosás Elleni Hatósága létszámtervének néhány módosítása lehetővé teszi az ügynökség számára, hogy feladatait időben és hatékonyan lássa el; emlékeztet arra, hogy ez a kulcsfontosságú intézmény központi szerepet játszik az adófizetők pénzének védelmében, és azt az Európai Parlament határozottan támogatta;</w:t>
      </w:r>
    </w:p>
    <w:p w14:paraId="6DAF8DA6" w14:textId="77777777" w:rsidR="00A06E2C" w:rsidRPr="000E00D1" w:rsidRDefault="00A06E2C" w:rsidP="00047409">
      <w:pPr>
        <w:pStyle w:val="NormalHanging12a"/>
        <w:widowControl/>
      </w:pPr>
      <w:r w:rsidRPr="000E00D1">
        <w:t>10.</w:t>
      </w:r>
      <w:r w:rsidRPr="000E00D1">
        <w:tab/>
        <w:t>üdvözli Bulgária előrehaladását az euró bevezetése terén, és teljes mértékben támogatja a valutaváltás megfelelő és célzott kommunikációs tevékenységekkel való kisérését célzó további eszközöket; elismeri, hogy mivel a 2b. fejezetben nincs lekötetlen mozgástér, a Rugalmassági Eszközt kell igénybe venni e célra;</w:t>
      </w:r>
    </w:p>
    <w:p w14:paraId="02DA01FC" w14:textId="77777777" w:rsidR="00A06E2C" w:rsidRPr="000E00D1" w:rsidRDefault="00A06E2C" w:rsidP="00047409">
      <w:pPr>
        <w:pStyle w:val="NormalHanging12a"/>
        <w:widowControl/>
      </w:pPr>
      <w:r w:rsidRPr="000E00D1">
        <w:t>11.</w:t>
      </w:r>
      <w:r w:rsidRPr="000E00D1">
        <w:tab/>
        <w:t>jóváhagyja az 2/2025. számú költségvetés-módosítási tervezetről szóló tanácsi álláspontot;</w:t>
      </w:r>
    </w:p>
    <w:p w14:paraId="008ACA96" w14:textId="77777777" w:rsidR="00A06E2C" w:rsidRPr="000E00D1" w:rsidRDefault="00A06E2C" w:rsidP="00047409">
      <w:pPr>
        <w:pStyle w:val="NormalHanging12a"/>
        <w:widowControl/>
      </w:pPr>
      <w:r w:rsidRPr="000E00D1">
        <w:t>12.</w:t>
      </w:r>
      <w:r w:rsidRPr="000E00D1">
        <w:tab/>
        <w:t xml:space="preserve">utasítja elnökét annak megállapítására, hogy a 2/2025. számú költségvetés-módosítást véglegesen elfogadták, valamint arra, hogy gondoskodjon annak közzétételéről az </w:t>
      </w:r>
      <w:r w:rsidRPr="000E00D1">
        <w:rPr>
          <w:i/>
        </w:rPr>
        <w:t>Európai Unió Hivatalos Lapjában</w:t>
      </w:r>
      <w:r w:rsidRPr="000E00D1">
        <w:t>;</w:t>
      </w:r>
    </w:p>
    <w:p w14:paraId="678A8C26" w14:textId="44B6613E" w:rsidR="00350872" w:rsidRPr="000E00D1" w:rsidRDefault="00A06E2C" w:rsidP="00047409">
      <w:pPr>
        <w:pStyle w:val="NormalHanging12a"/>
        <w:widowControl/>
      </w:pPr>
      <w:r w:rsidRPr="000E00D1">
        <w:t>13.</w:t>
      </w:r>
      <w:r w:rsidRPr="000E00D1">
        <w:tab/>
        <w:t>utasítja elnökét, hogy továbbítsa ezt az állásfoglalást a Tanácsnak és a Bizottságnak, továbbá a többi érintett intézménynek és szervnek, valamint a nemzeti parlamenteknek.</w:t>
      </w:r>
    </w:p>
    <w:p w14:paraId="3F71ADE4" w14:textId="441D8582" w:rsidR="00E365E1" w:rsidRPr="000E00D1" w:rsidRDefault="00E365E1" w:rsidP="00047409">
      <w:pPr>
        <w:widowControl/>
        <w:spacing w:after="240"/>
        <w:ind w:left="567" w:hanging="567"/>
      </w:pPr>
    </w:p>
    <w:sectPr w:rsidR="00E365E1" w:rsidRPr="000E00D1" w:rsidSect="0035087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C28D6" w14:textId="77777777" w:rsidR="00785365" w:rsidRPr="00350872" w:rsidRDefault="00785365">
      <w:r w:rsidRPr="00350872">
        <w:separator/>
      </w:r>
    </w:p>
  </w:endnote>
  <w:endnote w:type="continuationSeparator" w:id="0">
    <w:p w14:paraId="288FB8D9" w14:textId="77777777" w:rsidR="00785365" w:rsidRPr="00350872" w:rsidRDefault="00785365">
      <w:r w:rsidRPr="003508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9648B" w14:textId="77777777" w:rsidR="00064002" w:rsidRPr="0035087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FC642" w14:textId="77777777" w:rsidR="00064002" w:rsidRPr="0035087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69E4" w14:textId="77777777" w:rsidR="00064002" w:rsidRPr="0035087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12B74A" w14:textId="77777777" w:rsidR="00785365" w:rsidRPr="00350872" w:rsidRDefault="00785365">
      <w:r w:rsidRPr="00350872">
        <w:separator/>
      </w:r>
    </w:p>
  </w:footnote>
  <w:footnote w:type="continuationSeparator" w:id="0">
    <w:p w14:paraId="3B693A4A" w14:textId="77777777" w:rsidR="00785365" w:rsidRPr="00350872" w:rsidRDefault="00785365">
      <w:r w:rsidRPr="00350872">
        <w:continuationSeparator/>
      </w:r>
    </w:p>
  </w:footnote>
  <w:footnote w:id="1">
    <w:p w14:paraId="3B5CD4FF" w14:textId="6E9E746A" w:rsidR="00A06E2C" w:rsidRPr="00350872" w:rsidRDefault="00A06E2C" w:rsidP="00350872">
      <w:pPr>
        <w:pStyle w:val="FootnoteText"/>
        <w:ind w:left="567" w:hanging="567"/>
        <w:rPr>
          <w:sz w:val="24"/>
          <w:lang w:val="hu-HU"/>
        </w:rPr>
      </w:pPr>
      <w:r w:rsidRPr="00350872">
        <w:rPr>
          <w:rStyle w:val="FootnoteReference"/>
          <w:sz w:val="24"/>
          <w:lang w:val="hu-HU"/>
        </w:rPr>
        <w:footnoteRef/>
      </w:r>
      <w:r w:rsidR="00350872" w:rsidRPr="00350872">
        <w:rPr>
          <w:sz w:val="24"/>
          <w:lang w:val="hu-HU"/>
        </w:rPr>
        <w:t xml:space="preserve"> </w:t>
      </w:r>
      <w:r w:rsidR="00350872" w:rsidRPr="00350872">
        <w:rPr>
          <w:sz w:val="24"/>
          <w:lang w:val="hu-HU"/>
        </w:rPr>
        <w:tab/>
      </w:r>
      <w:r w:rsidRPr="00350872">
        <w:rPr>
          <w:sz w:val="24"/>
          <w:lang w:val="hu-HU"/>
        </w:rPr>
        <w:t xml:space="preserve">HL L, 2024/2509, 2024.9.26., ELI: </w:t>
      </w:r>
      <w:hyperlink r:id="rId1" w:history="1">
        <w:r w:rsidRPr="00350872">
          <w:rPr>
            <w:rStyle w:val="Hyperlink"/>
            <w:sz w:val="24"/>
            <w:lang w:val="hu-HU"/>
          </w:rPr>
          <w:t>http://data.europa.eu/eli/reg/2024/2509/oj</w:t>
        </w:r>
      </w:hyperlink>
      <w:r w:rsidRPr="00350872">
        <w:rPr>
          <w:sz w:val="24"/>
          <w:lang w:val="hu-HU"/>
        </w:rPr>
        <w:t>.</w:t>
      </w:r>
    </w:p>
  </w:footnote>
  <w:footnote w:id="2">
    <w:p w14:paraId="736410BA" w14:textId="1E763A5B" w:rsidR="00A06E2C" w:rsidRPr="00350872" w:rsidRDefault="00A06E2C" w:rsidP="00350872">
      <w:pPr>
        <w:pStyle w:val="FootnoteText"/>
        <w:ind w:left="567" w:hanging="567"/>
        <w:rPr>
          <w:rStyle w:val="Hyperlink"/>
          <w:sz w:val="24"/>
          <w:lang w:val="hu-HU"/>
        </w:rPr>
      </w:pPr>
      <w:r w:rsidRPr="00350872">
        <w:rPr>
          <w:rStyle w:val="FootnoteReference"/>
          <w:sz w:val="24"/>
          <w:lang w:val="hu-HU"/>
        </w:rPr>
        <w:footnoteRef/>
      </w:r>
      <w:r w:rsidR="00350872" w:rsidRPr="00350872">
        <w:rPr>
          <w:sz w:val="24"/>
          <w:lang w:val="hu-HU"/>
        </w:rPr>
        <w:t xml:space="preserve"> </w:t>
      </w:r>
      <w:r w:rsidR="00350872" w:rsidRPr="00350872">
        <w:rPr>
          <w:sz w:val="24"/>
          <w:lang w:val="hu-HU"/>
        </w:rPr>
        <w:tab/>
      </w:r>
      <w:r w:rsidRPr="00350872">
        <w:rPr>
          <w:sz w:val="24"/>
          <w:lang w:val="hu-HU"/>
        </w:rPr>
        <w:t xml:space="preserve">HL L, 2025/31, 2025.2.27., ELI: </w:t>
      </w:r>
      <w:r w:rsidR="006604D1">
        <w:fldChar w:fldCharType="begin"/>
      </w:r>
      <w:r w:rsidR="006604D1" w:rsidRPr="006604D1">
        <w:rPr>
          <w:lang w:val="fi-FI"/>
        </w:rPr>
        <w:instrText>HYPERLINK "http://data.europa.eu/eli/budget/2025/31/oj%20"</w:instrText>
      </w:r>
      <w:r w:rsidR="006604D1">
        <w:fldChar w:fldCharType="separate"/>
      </w:r>
      <w:r w:rsidRPr="00350872">
        <w:rPr>
          <w:rStyle w:val="Hyperlink"/>
          <w:sz w:val="24"/>
          <w:lang w:val="hu-HU"/>
        </w:rPr>
        <w:t>http://data.europa.eu/eli/budget/2025/31/oj</w:t>
      </w:r>
      <w:r w:rsidR="006604D1">
        <w:rPr>
          <w:rStyle w:val="Hyperlink"/>
          <w:sz w:val="24"/>
          <w:lang w:val="hu-HU"/>
        </w:rPr>
        <w:fldChar w:fldCharType="end"/>
      </w:r>
      <w:r w:rsidRPr="00350872">
        <w:rPr>
          <w:rStyle w:val="Hyperlink"/>
          <w:sz w:val="24"/>
          <w:lang w:val="hu-HU"/>
        </w:rPr>
        <w:t>.</w:t>
      </w:r>
    </w:p>
  </w:footnote>
  <w:footnote w:id="3">
    <w:p w14:paraId="60E2A475" w14:textId="5680BCEA" w:rsidR="00A06E2C" w:rsidRPr="00350872" w:rsidRDefault="00A06E2C" w:rsidP="00350872">
      <w:pPr>
        <w:pStyle w:val="FootnoteText"/>
        <w:ind w:left="567" w:hanging="567"/>
        <w:rPr>
          <w:rStyle w:val="Hyperlink"/>
          <w:sz w:val="24"/>
          <w:lang w:val="hu-HU"/>
        </w:rPr>
      </w:pPr>
      <w:r w:rsidRPr="00350872">
        <w:rPr>
          <w:rStyle w:val="FootnoteReference"/>
          <w:sz w:val="24"/>
          <w:lang w:val="hu-HU"/>
        </w:rPr>
        <w:footnoteRef/>
      </w:r>
      <w:r w:rsidR="00350872" w:rsidRPr="00350872">
        <w:rPr>
          <w:sz w:val="24"/>
          <w:lang w:val="hu-HU"/>
        </w:rPr>
        <w:t xml:space="preserve"> </w:t>
      </w:r>
      <w:r w:rsidR="00350872" w:rsidRPr="00350872">
        <w:rPr>
          <w:sz w:val="24"/>
          <w:lang w:val="hu-HU"/>
        </w:rPr>
        <w:tab/>
      </w:r>
      <w:r w:rsidRPr="00350872">
        <w:rPr>
          <w:sz w:val="24"/>
          <w:lang w:val="hu-HU"/>
        </w:rPr>
        <w:t xml:space="preserve">HL L 433. I, 2020.12.22., 11. o., ELI: </w:t>
      </w:r>
      <w:r w:rsidR="006604D1">
        <w:fldChar w:fldCharType="begin"/>
      </w:r>
      <w:r w:rsidR="006604D1" w:rsidRPr="006604D1">
        <w:rPr>
          <w:lang w:val="fi-FI"/>
        </w:rPr>
        <w:instrText>HYPERLINK "http://data.europa.eu/eli/reg/2020/433/oj"</w:instrText>
      </w:r>
      <w:r w:rsidR="006604D1">
        <w:fldChar w:fldCharType="separate"/>
      </w:r>
      <w:r w:rsidRPr="00350872">
        <w:rPr>
          <w:rStyle w:val="Hyperlink"/>
          <w:sz w:val="24"/>
          <w:lang w:val="hu-HU"/>
        </w:rPr>
        <w:t>http://data.europa.eu/eli/reg/2020/433/oj</w:t>
      </w:r>
      <w:r w:rsidR="006604D1">
        <w:rPr>
          <w:rStyle w:val="Hyperlink"/>
          <w:sz w:val="24"/>
          <w:lang w:val="hu-HU"/>
        </w:rPr>
        <w:fldChar w:fldCharType="end"/>
      </w:r>
      <w:r w:rsidRPr="00350872">
        <w:rPr>
          <w:rStyle w:val="Hyperlink"/>
          <w:sz w:val="24"/>
          <w:lang w:val="hu-HU"/>
        </w:rPr>
        <w:t>.</w:t>
      </w:r>
    </w:p>
  </w:footnote>
  <w:footnote w:id="4">
    <w:p w14:paraId="71CC0421" w14:textId="5381455F" w:rsidR="00A06E2C" w:rsidRPr="00350872" w:rsidRDefault="00A06E2C" w:rsidP="00350872">
      <w:pPr>
        <w:pStyle w:val="FootnoteText"/>
        <w:ind w:left="567" w:hanging="567"/>
        <w:rPr>
          <w:sz w:val="24"/>
          <w:lang w:val="hu-HU"/>
        </w:rPr>
      </w:pPr>
      <w:r w:rsidRPr="00350872">
        <w:rPr>
          <w:rStyle w:val="FootnoteReference"/>
          <w:sz w:val="24"/>
          <w:lang w:val="hu-HU"/>
        </w:rPr>
        <w:footnoteRef/>
      </w:r>
      <w:r w:rsidR="00350872" w:rsidRPr="00350872">
        <w:rPr>
          <w:sz w:val="24"/>
          <w:lang w:val="hu-HU"/>
        </w:rPr>
        <w:t xml:space="preserve"> </w:t>
      </w:r>
      <w:r w:rsidR="00350872" w:rsidRPr="00350872">
        <w:rPr>
          <w:sz w:val="24"/>
          <w:lang w:val="hu-HU"/>
        </w:rPr>
        <w:tab/>
      </w:r>
      <w:r w:rsidRPr="00350872">
        <w:rPr>
          <w:sz w:val="24"/>
          <w:lang w:val="hu-HU"/>
        </w:rPr>
        <w:t xml:space="preserve">HL L 433. I, 2020.12.22., 28. o., ELI: </w:t>
      </w:r>
      <w:r w:rsidR="006604D1">
        <w:fldChar w:fldCharType="begin"/>
      </w:r>
      <w:r w:rsidR="006604D1" w:rsidRPr="006604D1">
        <w:rPr>
          <w:lang w:val="fi-FI"/>
        </w:rPr>
        <w:instrText>HYPERLINK "http://data.europa.eu/eli/agree_interinstit/2020/1222/oj"</w:instrText>
      </w:r>
      <w:r w:rsidR="006604D1">
        <w:fldChar w:fldCharType="separate"/>
      </w:r>
      <w:r w:rsidRPr="00350872">
        <w:rPr>
          <w:rStyle w:val="Hyperlink"/>
          <w:sz w:val="24"/>
          <w:lang w:val="hu-HU"/>
        </w:rPr>
        <w:t>http://data.europa.eu/eli/agree_interinstit/2020/1222/oj</w:t>
      </w:r>
      <w:r w:rsidR="006604D1">
        <w:rPr>
          <w:rStyle w:val="Hyperlink"/>
          <w:sz w:val="24"/>
          <w:lang w:val="hu-HU"/>
        </w:rPr>
        <w:fldChar w:fldCharType="end"/>
      </w:r>
      <w:r w:rsidRPr="00350872">
        <w:rPr>
          <w:rStyle w:val="Hyperlink"/>
          <w:sz w:val="24"/>
          <w:lang w:val="hu-HU"/>
        </w:rPr>
        <w:t>.</w:t>
      </w:r>
    </w:p>
  </w:footnote>
  <w:footnote w:id="5">
    <w:p w14:paraId="3AC747D8" w14:textId="770F7D8F" w:rsidR="00A06E2C" w:rsidRPr="00350872" w:rsidRDefault="00A06E2C" w:rsidP="00350872">
      <w:pPr>
        <w:pStyle w:val="FootnoteText"/>
        <w:ind w:left="567" w:hanging="567"/>
        <w:rPr>
          <w:sz w:val="24"/>
          <w:lang w:val="hu-HU"/>
        </w:rPr>
      </w:pPr>
      <w:r w:rsidRPr="00350872">
        <w:rPr>
          <w:rStyle w:val="FootnoteReference"/>
          <w:sz w:val="24"/>
          <w:lang w:val="hu-HU"/>
        </w:rPr>
        <w:footnoteRef/>
      </w:r>
      <w:r w:rsidR="00350872" w:rsidRPr="00350872">
        <w:rPr>
          <w:sz w:val="24"/>
          <w:lang w:val="hu-HU"/>
        </w:rPr>
        <w:t xml:space="preserve"> </w:t>
      </w:r>
      <w:r w:rsidR="00350872" w:rsidRPr="00350872">
        <w:rPr>
          <w:sz w:val="24"/>
          <w:lang w:val="hu-HU"/>
        </w:rPr>
        <w:tab/>
      </w:r>
      <w:r w:rsidRPr="00350872">
        <w:rPr>
          <w:sz w:val="24"/>
          <w:lang w:val="hu-HU"/>
        </w:rPr>
        <w:t xml:space="preserve">HL L 424., 2020.12.15., 1. o., ELI: </w:t>
      </w:r>
      <w:r w:rsidR="006604D1">
        <w:fldChar w:fldCharType="begin"/>
      </w:r>
      <w:r w:rsidR="006604D1" w:rsidRPr="006604D1">
        <w:rPr>
          <w:lang w:val="fi-FI"/>
        </w:rPr>
        <w:instrText>HYPERLINK "http://data.europa.eu/eli/dec/2020/2053/oj"</w:instrText>
      </w:r>
      <w:r w:rsidR="006604D1">
        <w:fldChar w:fldCharType="separate"/>
      </w:r>
      <w:r w:rsidRPr="00350872">
        <w:rPr>
          <w:rStyle w:val="Hyperlink"/>
          <w:sz w:val="24"/>
          <w:lang w:val="hu-HU"/>
        </w:rPr>
        <w:t>http://data.europa.eu/eli/dec/2020/2053/oj</w:t>
      </w:r>
      <w:r w:rsidR="006604D1">
        <w:rPr>
          <w:rStyle w:val="Hyperlink"/>
          <w:sz w:val="24"/>
          <w:lang w:val="hu-HU"/>
        </w:rPr>
        <w:fldChar w:fldCharType="end"/>
      </w:r>
      <w:r w:rsidRPr="00350872">
        <w:rPr>
          <w:rStyle w:val="Hyperlink"/>
          <w:sz w:val="24"/>
          <w:lang w:val="hu-HU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B6E06" w14:textId="77777777" w:rsidR="00064002" w:rsidRPr="0035087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605570" w14:textId="77777777" w:rsidR="00064002" w:rsidRPr="0035087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58D16" w14:textId="77777777" w:rsidR="00064002" w:rsidRPr="0035087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37860422">
    <w:abstractNumId w:val="9"/>
  </w:num>
  <w:num w:numId="2" w16cid:durableId="452943193">
    <w:abstractNumId w:val="9"/>
  </w:num>
  <w:num w:numId="3" w16cid:durableId="1157652215">
    <w:abstractNumId w:val="7"/>
  </w:num>
  <w:num w:numId="4" w16cid:durableId="546452173">
    <w:abstractNumId w:val="7"/>
  </w:num>
  <w:num w:numId="5" w16cid:durableId="1767771563">
    <w:abstractNumId w:val="6"/>
  </w:num>
  <w:num w:numId="6" w16cid:durableId="917859367">
    <w:abstractNumId w:val="6"/>
  </w:num>
  <w:num w:numId="7" w16cid:durableId="127164878">
    <w:abstractNumId w:val="5"/>
  </w:num>
  <w:num w:numId="8" w16cid:durableId="930743025">
    <w:abstractNumId w:val="5"/>
  </w:num>
  <w:num w:numId="9" w16cid:durableId="820855533">
    <w:abstractNumId w:val="4"/>
  </w:num>
  <w:num w:numId="10" w16cid:durableId="1741177472">
    <w:abstractNumId w:val="4"/>
  </w:num>
  <w:num w:numId="11" w16cid:durableId="533151391">
    <w:abstractNumId w:val="8"/>
  </w:num>
  <w:num w:numId="12" w16cid:durableId="917862911">
    <w:abstractNumId w:val="8"/>
  </w:num>
  <w:num w:numId="13" w16cid:durableId="1846092321">
    <w:abstractNumId w:val="3"/>
  </w:num>
  <w:num w:numId="14" w16cid:durableId="921718108">
    <w:abstractNumId w:val="3"/>
  </w:num>
  <w:num w:numId="15" w16cid:durableId="1881547704">
    <w:abstractNumId w:val="2"/>
  </w:num>
  <w:num w:numId="16" w16cid:durableId="6055714">
    <w:abstractNumId w:val="2"/>
  </w:num>
  <w:num w:numId="17" w16cid:durableId="574363496">
    <w:abstractNumId w:val="1"/>
  </w:num>
  <w:num w:numId="18" w16cid:durableId="786394376">
    <w:abstractNumId w:val="1"/>
  </w:num>
  <w:num w:numId="19" w16cid:durableId="241793187">
    <w:abstractNumId w:val="0"/>
  </w:num>
  <w:num w:numId="20" w16cid:durableId="194193712">
    <w:abstractNumId w:val="0"/>
  </w:num>
  <w:num w:numId="21" w16cid:durableId="1868978816">
    <w:abstractNumId w:val="9"/>
  </w:num>
  <w:num w:numId="22" w16cid:durableId="465779438">
    <w:abstractNumId w:val="7"/>
  </w:num>
  <w:num w:numId="23" w16cid:durableId="55009777">
    <w:abstractNumId w:val="6"/>
  </w:num>
  <w:num w:numId="24" w16cid:durableId="2141263638">
    <w:abstractNumId w:val="5"/>
  </w:num>
  <w:num w:numId="25" w16cid:durableId="1352992955">
    <w:abstractNumId w:val="4"/>
  </w:num>
  <w:num w:numId="26" w16cid:durableId="847863265">
    <w:abstractNumId w:val="8"/>
  </w:num>
  <w:num w:numId="27" w16cid:durableId="2036542276">
    <w:abstractNumId w:val="3"/>
  </w:num>
  <w:num w:numId="28" w16cid:durableId="1699118293">
    <w:abstractNumId w:val="2"/>
  </w:num>
  <w:num w:numId="29" w16cid:durableId="1454059501">
    <w:abstractNumId w:val="1"/>
  </w:num>
  <w:num w:numId="30" w16cid:durableId="1806435329">
    <w:abstractNumId w:val="0"/>
  </w:num>
  <w:num w:numId="31" w16cid:durableId="1039747101">
    <w:abstractNumId w:val="9"/>
  </w:num>
  <w:num w:numId="32" w16cid:durableId="536045699">
    <w:abstractNumId w:val="7"/>
  </w:num>
  <w:num w:numId="33" w16cid:durableId="1418286281">
    <w:abstractNumId w:val="6"/>
  </w:num>
  <w:num w:numId="34" w16cid:durableId="543568285">
    <w:abstractNumId w:val="5"/>
  </w:num>
  <w:num w:numId="35" w16cid:durableId="2080903843">
    <w:abstractNumId w:val="4"/>
  </w:num>
  <w:num w:numId="36" w16cid:durableId="244151950">
    <w:abstractNumId w:val="8"/>
  </w:num>
  <w:num w:numId="37" w16cid:durableId="684523549">
    <w:abstractNumId w:val="3"/>
  </w:num>
  <w:num w:numId="38" w16cid:durableId="1566456449">
    <w:abstractNumId w:val="2"/>
  </w:num>
  <w:num w:numId="39" w16cid:durableId="303437100">
    <w:abstractNumId w:val="1"/>
  </w:num>
  <w:num w:numId="40" w16cid:durableId="936015004">
    <w:abstractNumId w:val="0"/>
  </w:num>
  <w:num w:numId="41" w16cid:durableId="881870574">
    <w:abstractNumId w:val="10"/>
  </w:num>
  <w:num w:numId="42" w16cid:durableId="1828354810">
    <w:abstractNumId w:val="10"/>
  </w:num>
  <w:num w:numId="43" w16cid:durableId="644242465">
    <w:abstractNumId w:val="10"/>
  </w:num>
  <w:num w:numId="44" w16cid:durableId="186798357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65/2025"/>
    <w:docVar w:name="dvlangue" w:val="HU"/>
    <w:docVar w:name="dvnumam" w:val="0"/>
    <w:docVar w:name="dvpe" w:val="776.838"/>
    <w:docVar w:name="dvrapporteur" w:val="Előadó: "/>
    <w:docVar w:name="dvtitre" w:val="Az Európai Parlament 2025.  ...-i állásfoglalása az Európai Unió 2025. évi pénzügyi évre vonatkozó, 2/2025. számú költségvetés-módosítási tervezetéről (A bevételek [saját források] aktualizálása és a kiadások kiigazításai) szóló tanácsi álláspontról(12353/2025 – C10-0209/2025 – 2025/0206(BUD))"/>
  </w:docVars>
  <w:rsids>
    <w:rsidRoot w:val="00785365"/>
    <w:rsid w:val="00002272"/>
    <w:rsid w:val="00047409"/>
    <w:rsid w:val="00064002"/>
    <w:rsid w:val="000677B9"/>
    <w:rsid w:val="000831BA"/>
    <w:rsid w:val="000A42CC"/>
    <w:rsid w:val="000E00D1"/>
    <w:rsid w:val="000E7DD9"/>
    <w:rsid w:val="0010095E"/>
    <w:rsid w:val="00125B37"/>
    <w:rsid w:val="001513B0"/>
    <w:rsid w:val="00187494"/>
    <w:rsid w:val="001F32AE"/>
    <w:rsid w:val="002767FF"/>
    <w:rsid w:val="002B18FE"/>
    <w:rsid w:val="002B5493"/>
    <w:rsid w:val="00343214"/>
    <w:rsid w:val="00350872"/>
    <w:rsid w:val="00361C00"/>
    <w:rsid w:val="00367CF3"/>
    <w:rsid w:val="00395FA1"/>
    <w:rsid w:val="003E15D4"/>
    <w:rsid w:val="00411CCE"/>
    <w:rsid w:val="0041666E"/>
    <w:rsid w:val="00421060"/>
    <w:rsid w:val="00471C19"/>
    <w:rsid w:val="004867E3"/>
    <w:rsid w:val="00494A28"/>
    <w:rsid w:val="004B4F90"/>
    <w:rsid w:val="004C0004"/>
    <w:rsid w:val="004C5D52"/>
    <w:rsid w:val="0050519A"/>
    <w:rsid w:val="005072A1"/>
    <w:rsid w:val="00514517"/>
    <w:rsid w:val="00545827"/>
    <w:rsid w:val="00560270"/>
    <w:rsid w:val="005712FF"/>
    <w:rsid w:val="005C2568"/>
    <w:rsid w:val="005C7401"/>
    <w:rsid w:val="005F1B17"/>
    <w:rsid w:val="006037C0"/>
    <w:rsid w:val="006604D1"/>
    <w:rsid w:val="006631B6"/>
    <w:rsid w:val="00680577"/>
    <w:rsid w:val="006D5E71"/>
    <w:rsid w:val="006F74FA"/>
    <w:rsid w:val="00731ADD"/>
    <w:rsid w:val="00734777"/>
    <w:rsid w:val="00747932"/>
    <w:rsid w:val="00751A4A"/>
    <w:rsid w:val="00756632"/>
    <w:rsid w:val="00762C74"/>
    <w:rsid w:val="00785365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4073"/>
    <w:rsid w:val="00930C23"/>
    <w:rsid w:val="0093193B"/>
    <w:rsid w:val="009509D8"/>
    <w:rsid w:val="00950B64"/>
    <w:rsid w:val="00981893"/>
    <w:rsid w:val="00A06E2C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8AA"/>
    <w:rsid w:val="00D834A0"/>
    <w:rsid w:val="00D872DF"/>
    <w:rsid w:val="00D91E21"/>
    <w:rsid w:val="00DA7FCD"/>
    <w:rsid w:val="00DF7CE4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881F51"/>
  <w15:chartTrackingRefBased/>
  <w15:docId w15:val="{0EB009F3-22D6-4C56-A46C-C3E526ED6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06E2C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A06E2C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A06E2C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A06E2C"/>
    <w:rPr>
      <w:sz w:val="24"/>
      <w:lang w:val="hu-HU"/>
    </w:rPr>
  </w:style>
  <w:style w:type="paragraph" w:styleId="Revision">
    <w:name w:val="Revision"/>
    <w:hidden/>
    <w:uiPriority w:val="99"/>
    <w:semiHidden/>
    <w:rsid w:val="004B4F90"/>
    <w:rPr>
      <w:sz w:val="24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2509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1178</Words>
  <Characters>8690</Characters>
  <Application>Microsoft Office Word</Application>
  <DocSecurity>0</DocSecurity>
  <Lines>72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ILLY_D_relfin</cp:lastModifiedBy>
  <cp:revision>2</cp:revision>
  <cp:lastPrinted>2004-11-19T15:42:00Z</cp:lastPrinted>
  <dcterms:created xsi:type="dcterms:W3CDTF">2025-12-15T08:57:00Z</dcterms:created>
  <dcterms:modified xsi:type="dcterms:W3CDTF">2025-12-15T08:57:00Z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P10_TA(2025)0218_</vt:lpwstr>
  </property>
  <property fmtid="{D5CDD505-2E9C-101B-9397-08002B2CF9AE}" pid="4" name="&lt;Type&gt;">
    <vt:lpwstr>RR</vt:lpwstr>
  </property>
</Properties>
</file>