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20CBB" w14:paraId="766AAB1D" w14:textId="77777777" w:rsidTr="0010095E">
        <w:trPr>
          <w:trHeight w:hRule="exact" w:val="1418"/>
        </w:trPr>
        <w:tc>
          <w:tcPr>
            <w:tcW w:w="6804" w:type="dxa"/>
            <w:shd w:val="clear" w:color="auto" w:fill="auto"/>
            <w:vAlign w:val="center"/>
          </w:tcPr>
          <w:p w14:paraId="1747A7A4" w14:textId="77777777" w:rsidR="00751A4A" w:rsidRPr="00C20CBB" w:rsidRDefault="00AD4D97" w:rsidP="0010095E">
            <w:pPr>
              <w:pStyle w:val="EPName"/>
            </w:pPr>
            <w:r w:rsidRPr="00C20CBB">
              <w:t>Europos Parlamentas</w:t>
            </w:r>
          </w:p>
          <w:p w14:paraId="32F70F5A" w14:textId="77777777" w:rsidR="00751A4A" w:rsidRPr="00C20CBB" w:rsidRDefault="005F1B17" w:rsidP="005F1B17">
            <w:pPr>
              <w:pStyle w:val="EPTerm"/>
              <w:rPr>
                <w:rStyle w:val="HideTWBExt"/>
                <w:noProof w:val="0"/>
                <w:vanish w:val="0"/>
                <w:color w:val="auto"/>
              </w:rPr>
            </w:pPr>
            <w:r w:rsidRPr="00C20CBB">
              <w:t>2024</w:t>
            </w:r>
            <w:r w:rsidR="00817416" w:rsidRPr="00C20CBB">
              <w:t>-202</w:t>
            </w:r>
            <w:r w:rsidRPr="00C20CBB">
              <w:t>9</w:t>
            </w:r>
          </w:p>
        </w:tc>
        <w:tc>
          <w:tcPr>
            <w:tcW w:w="2268" w:type="dxa"/>
            <w:shd w:val="clear" w:color="auto" w:fill="auto"/>
          </w:tcPr>
          <w:p w14:paraId="4B14C231" w14:textId="77777777" w:rsidR="00751A4A" w:rsidRPr="00C20CBB" w:rsidRDefault="00187494" w:rsidP="0010095E">
            <w:pPr>
              <w:pStyle w:val="EPLogo"/>
            </w:pPr>
            <w:r w:rsidRPr="00C20CBB">
              <w:rPr>
                <w:noProof/>
                <w:lang w:eastAsia="ja-JP"/>
              </w:rPr>
              <w:drawing>
                <wp:inline distT="0" distB="0" distL="0" distR="0" wp14:anchorId="2E4279C3" wp14:editId="474600C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5336527" w14:textId="77777777" w:rsidR="00D058B8" w:rsidRPr="00C20CBB" w:rsidRDefault="00D058B8" w:rsidP="004C5D52">
      <w:pPr>
        <w:pStyle w:val="LineTop"/>
      </w:pPr>
    </w:p>
    <w:p w14:paraId="4FBC7F7B" w14:textId="77777777" w:rsidR="00680577" w:rsidRPr="00C20CBB" w:rsidRDefault="00AD4D97" w:rsidP="00680577">
      <w:pPr>
        <w:pStyle w:val="EPBodyTA1"/>
      </w:pPr>
      <w:r w:rsidRPr="00C20CBB">
        <w:t>PRIIMTI TEKSTAI</w:t>
      </w:r>
    </w:p>
    <w:p w14:paraId="0D736455" w14:textId="77777777" w:rsidR="00D058B8" w:rsidRPr="00C20CBB" w:rsidRDefault="00D058B8" w:rsidP="00D058B8">
      <w:pPr>
        <w:pStyle w:val="LineBottom"/>
      </w:pPr>
    </w:p>
    <w:p w14:paraId="1EDCD1C5" w14:textId="6E9B6D4E" w:rsidR="00AD4D97" w:rsidRPr="00C20CBB" w:rsidRDefault="00AD4D97" w:rsidP="00AD4D97">
      <w:pPr>
        <w:pStyle w:val="ATHeading1"/>
      </w:pPr>
      <w:bookmarkStart w:id="0" w:name="TANumber"/>
      <w:r w:rsidRPr="00C20CBB">
        <w:t>P10_TA(2025)0</w:t>
      </w:r>
      <w:r w:rsidR="00510904">
        <w:t>218</w:t>
      </w:r>
      <w:bookmarkEnd w:id="0"/>
    </w:p>
    <w:p w14:paraId="18683195" w14:textId="4B927DBA" w:rsidR="00AD4D97" w:rsidRPr="00C20CBB" w:rsidRDefault="006B59A3" w:rsidP="00AD4D97">
      <w:pPr>
        <w:pStyle w:val="ATHeading2"/>
      </w:pPr>
      <w:bookmarkStart w:id="1" w:name="title"/>
      <w:r>
        <w:t>T</w:t>
      </w:r>
      <w:r w:rsidR="00AD4D97" w:rsidRPr="00C20CBB">
        <w:t>aisomojo biudžeto Nr. 2</w:t>
      </w:r>
      <w:r>
        <w:t>/2025</w:t>
      </w:r>
      <w:r w:rsidR="00AD4D97" w:rsidRPr="00C20CBB">
        <w:t xml:space="preserve"> projektas</w:t>
      </w:r>
      <w:r w:rsidR="001B5A3E">
        <w:t>: p</w:t>
      </w:r>
      <w:r w:rsidR="00AD4D97" w:rsidRPr="00C20CBB">
        <w:t>ajamų (nuosavų išteklių) atnaujinimas ir išlaidų patikslinima</w:t>
      </w:r>
      <w:r w:rsidR="00E175DD">
        <w:t>i</w:t>
      </w:r>
      <w:bookmarkEnd w:id="1"/>
    </w:p>
    <w:p w14:paraId="7042F1C0" w14:textId="77777777" w:rsidR="00AD4D97" w:rsidRPr="00C20CBB" w:rsidRDefault="00AD4D97" w:rsidP="00AD4D97">
      <w:pPr>
        <w:rPr>
          <w:i/>
          <w:vanish/>
        </w:rPr>
      </w:pPr>
      <w:r w:rsidRPr="00C20CBB">
        <w:rPr>
          <w:i/>
        </w:rPr>
        <w:fldChar w:fldCharType="begin"/>
      </w:r>
      <w:r w:rsidRPr="00C20CBB">
        <w:rPr>
          <w:i/>
        </w:rPr>
        <w:instrText xml:space="preserve"> TC"(</w:instrText>
      </w:r>
      <w:bookmarkStart w:id="2" w:name="DocNumber"/>
      <w:r w:rsidRPr="00C20CBB">
        <w:rPr>
          <w:i/>
        </w:rPr>
        <w:instrText>A10-0165/2025</w:instrText>
      </w:r>
      <w:bookmarkEnd w:id="2"/>
      <w:r w:rsidRPr="00C20CBB">
        <w:rPr>
          <w:i/>
        </w:rPr>
        <w:instrText xml:space="preserve"> - Pranešėjas: Victor Negrescu)"\l3 \n&gt; \* MERGEFORMAT </w:instrText>
      </w:r>
      <w:r w:rsidRPr="00C20CBB">
        <w:rPr>
          <w:i/>
        </w:rPr>
        <w:fldChar w:fldCharType="end"/>
      </w:r>
    </w:p>
    <w:p w14:paraId="53413DAC" w14:textId="77777777" w:rsidR="00AD4D97" w:rsidRPr="00C20CBB" w:rsidRDefault="00AD4D97" w:rsidP="00AD4D97">
      <w:pPr>
        <w:rPr>
          <w:vanish/>
        </w:rPr>
      </w:pPr>
      <w:bookmarkStart w:id="3" w:name="Commission"/>
      <w:r w:rsidRPr="00C20CBB">
        <w:rPr>
          <w:vanish/>
        </w:rPr>
        <w:t>Biudžeto komitetas</w:t>
      </w:r>
      <w:bookmarkEnd w:id="3"/>
    </w:p>
    <w:p w14:paraId="08E7D11F" w14:textId="77777777" w:rsidR="00AD4D97" w:rsidRPr="00C20CBB" w:rsidRDefault="00AD4D97" w:rsidP="00AD4D97">
      <w:pPr>
        <w:rPr>
          <w:vanish/>
        </w:rPr>
      </w:pPr>
      <w:bookmarkStart w:id="4" w:name="PE"/>
      <w:r w:rsidRPr="00C20CBB">
        <w:rPr>
          <w:vanish/>
        </w:rPr>
        <w:t>PE776.838</w:t>
      </w:r>
      <w:bookmarkEnd w:id="4"/>
    </w:p>
    <w:p w14:paraId="13FBEAAC" w14:textId="301333E6" w:rsidR="00AD4D97" w:rsidRPr="00C20CBB" w:rsidRDefault="00AD4D97" w:rsidP="000F5EAB">
      <w:pPr>
        <w:pStyle w:val="ATHeading3"/>
      </w:pPr>
      <w:bookmarkStart w:id="5" w:name="Sujet"/>
      <w:r w:rsidRPr="00C20CBB">
        <w:t xml:space="preserve">2025 m. spalio </w:t>
      </w:r>
      <w:r w:rsidR="000F5EAB">
        <w:t>8</w:t>
      </w:r>
      <w:r w:rsidRPr="00C20CBB">
        <w:t xml:space="preserve"> d. Europos Parlamento rezoliucija dėl Tarybos pozicijos dėl 2025 finansinių metų Europos Sąjungos taisomojo biudžeto Nr. 2/2025 projekto – Pajamų (nuosavų išteklių) atnaujinimas ir išlaidų patikslinimai</w:t>
      </w:r>
      <w:bookmarkEnd w:id="5"/>
      <w:r w:rsidRPr="00C20CBB">
        <w:t xml:space="preserve"> </w:t>
      </w:r>
      <w:bookmarkStart w:id="6" w:name="References"/>
      <w:r w:rsidRPr="00C20CBB">
        <w:t>(12353/2025 – C10-0209/2025 – 2025/0206(BUD))</w:t>
      </w:r>
      <w:bookmarkEnd w:id="6"/>
    </w:p>
    <w:p w14:paraId="6E5B4E3B" w14:textId="77777777" w:rsidR="00CA066B" w:rsidRPr="00C20CBB" w:rsidRDefault="00CA066B" w:rsidP="00CA066B">
      <w:pPr>
        <w:pStyle w:val="EPComma"/>
      </w:pPr>
      <w:bookmarkStart w:id="7" w:name="TextBodyBegin"/>
      <w:bookmarkEnd w:id="7"/>
      <w:r w:rsidRPr="00C20CBB">
        <w:rPr>
          <w:i/>
        </w:rPr>
        <w:t>Europos Parlamentas</w:t>
      </w:r>
      <w:r w:rsidRPr="00C20CBB">
        <w:t>,</w:t>
      </w:r>
    </w:p>
    <w:p w14:paraId="3FD5197B" w14:textId="77777777" w:rsidR="00CA066B" w:rsidRPr="00C20CBB" w:rsidRDefault="00CA066B" w:rsidP="00CA066B">
      <w:pPr>
        <w:pStyle w:val="NormalHanging12a"/>
      </w:pPr>
      <w:r w:rsidRPr="00C20CBB">
        <w:t>–</w:t>
      </w:r>
      <w:r w:rsidRPr="00C20CBB">
        <w:tab/>
        <w:t>atsižvelgdamas į Sutarties dėl Europos Sąjungos veikimo 314 straipsnį,</w:t>
      </w:r>
    </w:p>
    <w:p w14:paraId="6D3F5AD3" w14:textId="77777777" w:rsidR="00CA066B" w:rsidRPr="00C20CBB" w:rsidRDefault="00CA066B" w:rsidP="00CA066B">
      <w:pPr>
        <w:pStyle w:val="NormalHanging12a"/>
      </w:pPr>
      <w:r w:rsidRPr="00C20CBB">
        <w:t>–</w:t>
      </w:r>
      <w:r w:rsidRPr="00C20CBB">
        <w:tab/>
        <w:t>atsižvelgdamas į Europos atominės energijos bendrijos steigimo sutarties 106a straipsnį,</w:t>
      </w:r>
    </w:p>
    <w:p w14:paraId="328C3402" w14:textId="77777777" w:rsidR="00CA066B" w:rsidRPr="00C20CBB" w:rsidRDefault="00CA066B" w:rsidP="00CA066B">
      <w:pPr>
        <w:pStyle w:val="NormalHanging12a"/>
      </w:pPr>
      <w:r w:rsidRPr="00C20CBB">
        <w:t>–</w:t>
      </w:r>
      <w:r w:rsidRPr="00C20CBB">
        <w:tab/>
        <w:t>atsižvelgdamas į 2024 m. rugsėjo 23 d. Europos Parlamento ir Tarybos reglamentą (ES, Euratomas) 2024/2509 dėl Sąjungos bendrajam biudžetui taikomų finansinių taisyklių</w:t>
      </w:r>
      <w:r w:rsidRPr="00C20CBB">
        <w:rPr>
          <w:rStyle w:val="FootnoteReference"/>
        </w:rPr>
        <w:footnoteReference w:id="1"/>
      </w:r>
      <w:r w:rsidRPr="00C20CBB">
        <w:t>, ypač į jo 44 straipsnį,</w:t>
      </w:r>
    </w:p>
    <w:p w14:paraId="47B4052C" w14:textId="77777777" w:rsidR="00CA066B" w:rsidRPr="00C20CBB" w:rsidRDefault="00CA066B" w:rsidP="00CA066B">
      <w:pPr>
        <w:pStyle w:val="NormalHanging12a"/>
      </w:pPr>
      <w:r w:rsidRPr="00C20CBB">
        <w:t>–</w:t>
      </w:r>
      <w:r w:rsidRPr="00C20CBB">
        <w:tab/>
        <w:t>atsižvelgdamas į 2025 finansinių metų Europos Sąjungos bendrąjį biudžetą, kuris buvo galutinai priimtas 2024 m. lapkričio 27 d.</w:t>
      </w:r>
      <w:r w:rsidRPr="00C20CBB">
        <w:rPr>
          <w:rStyle w:val="FootnoteReference"/>
        </w:rPr>
        <w:footnoteReference w:id="2"/>
      </w:r>
      <w:r w:rsidRPr="00C20CBB">
        <w:t>,</w:t>
      </w:r>
    </w:p>
    <w:p w14:paraId="603737A8" w14:textId="77777777" w:rsidR="00CA066B" w:rsidRPr="00C20CBB" w:rsidRDefault="00CA066B" w:rsidP="00CA066B">
      <w:pPr>
        <w:pStyle w:val="NormalHanging12a"/>
      </w:pPr>
      <w:r w:rsidRPr="00C20CBB">
        <w:t>–</w:t>
      </w:r>
      <w:r w:rsidRPr="00C20CBB">
        <w:tab/>
        <w:t>atsižvelgdamas į 2020 m. gruodžio 17 d. Tarybos reglamentą (ES, Euratomas) 2020/2093, kuriuo nustatoma 2021–2027 m. daugiametė finansinė programa</w:t>
      </w:r>
      <w:r w:rsidRPr="00C20CBB">
        <w:rPr>
          <w:rStyle w:val="FootnoteReference"/>
        </w:rPr>
        <w:footnoteReference w:id="3"/>
      </w:r>
      <w:r w:rsidRPr="00C20CBB">
        <w:t>,</w:t>
      </w:r>
    </w:p>
    <w:p w14:paraId="415F1D98" w14:textId="77777777" w:rsidR="00CA066B" w:rsidRPr="00C20CBB" w:rsidRDefault="00CA066B" w:rsidP="00CA066B">
      <w:pPr>
        <w:pStyle w:val="NormalHanging12a"/>
      </w:pPr>
      <w:r w:rsidRPr="00C20CBB">
        <w:t>–</w:t>
      </w:r>
      <w:r w:rsidRPr="00C20CBB">
        <w:tab/>
        <w:t>atsižvelgdamas į 2020 m. gruodžio 16 d. Europos Parlamento, Europos Sąjungos Tarybos ir Europos Komisijos tarpinstitucinį susitarimą dėl biudžetinės drausmės, bendradarbiavimo biudžeto klausimais ir patikimo finansų valdymo, taip pat dėl naujų nuosavų išteklių, įskaitant veiksmų gaires dėl naujų nuosavų išteklių nustatymo</w:t>
      </w:r>
      <w:r w:rsidRPr="00C20CBB">
        <w:rPr>
          <w:rStyle w:val="FootnoteReference"/>
        </w:rPr>
        <w:footnoteReference w:id="4"/>
      </w:r>
      <w:r w:rsidRPr="00C20CBB">
        <w:t>,</w:t>
      </w:r>
    </w:p>
    <w:p w14:paraId="78FF29D4" w14:textId="6FD8614C" w:rsidR="00CA066B" w:rsidRPr="00C20CBB" w:rsidRDefault="00CA066B" w:rsidP="00CA066B">
      <w:pPr>
        <w:pStyle w:val="NormalHanging12a"/>
      </w:pPr>
      <w:r w:rsidRPr="00C20CBB">
        <w:t>–</w:t>
      </w:r>
      <w:r w:rsidRPr="00C20CBB">
        <w:tab/>
        <w:t xml:space="preserve">atsižvelgdamas į 2020 m. gruodžio 14 d. Tarybos sprendimą (ES, Euratomas) 2020/2053 dėl Europos Sąjungos nuosavų išteklių sistemos, kuriuo panaikinamas </w:t>
      </w:r>
      <w:r w:rsidRPr="00C20CBB">
        <w:lastRenderedPageBreak/>
        <w:t>Sprendimas 2014/335/ES, Euratomas</w:t>
      </w:r>
      <w:r w:rsidRPr="00C20CBB">
        <w:rPr>
          <w:rStyle w:val="FootnoteReference"/>
        </w:rPr>
        <w:footnoteReference w:id="5"/>
      </w:r>
      <w:r w:rsidRPr="00C20CBB">
        <w:t>,</w:t>
      </w:r>
    </w:p>
    <w:p w14:paraId="6FF4B382" w14:textId="77777777" w:rsidR="00CA066B" w:rsidRPr="00C20CBB" w:rsidRDefault="00CA066B" w:rsidP="00CA066B">
      <w:pPr>
        <w:pStyle w:val="NormalHanging12a"/>
      </w:pPr>
      <w:r w:rsidRPr="00C20CBB">
        <w:t>–</w:t>
      </w:r>
      <w:r w:rsidRPr="00C20CBB">
        <w:tab/>
        <w:t>atsižvelgdamas į Taisomojo biudžeto Nr. 2/2025 projektą, kurį Komisija priėmė 2025 m. liepos 4 d. (COM(2025)0410),</w:t>
      </w:r>
    </w:p>
    <w:p w14:paraId="1997680F" w14:textId="77777777" w:rsidR="00CA066B" w:rsidRPr="00C20CBB" w:rsidRDefault="00CA066B" w:rsidP="00CA066B">
      <w:pPr>
        <w:pStyle w:val="NormalHanging12a"/>
      </w:pPr>
      <w:r w:rsidRPr="00C20CBB">
        <w:t>–</w:t>
      </w:r>
      <w:r w:rsidRPr="00C20CBB">
        <w:tab/>
        <w:t>atsižvelgdamas į 2025 m. rugsėjo 16 d. priimtą ir 2025 m. rugsėjo 17 d. Europos Parlamentui perduotą Tarybos poziciją dėl Taisomojo biudžeto Nr. 2/2025 projekto (12353/2025–C10</w:t>
      </w:r>
      <w:r w:rsidRPr="00C20CBB">
        <w:noBreakHyphen/>
        <w:t>0209/2025),</w:t>
      </w:r>
    </w:p>
    <w:p w14:paraId="607FB53B" w14:textId="77777777" w:rsidR="00CA066B" w:rsidRPr="00C20CBB" w:rsidRDefault="00CA066B" w:rsidP="00CA066B">
      <w:pPr>
        <w:pStyle w:val="NormalHanging12a"/>
      </w:pPr>
      <w:r w:rsidRPr="00C20CBB">
        <w:t>–</w:t>
      </w:r>
      <w:r w:rsidRPr="00C20CBB">
        <w:tab/>
        <w:t>atsižvelgdamas į Darbo tvarkos taisyklių 96 ir 98 straipsnius,</w:t>
      </w:r>
    </w:p>
    <w:p w14:paraId="1E58719A" w14:textId="77777777" w:rsidR="00CA066B" w:rsidRPr="00C20CBB" w:rsidRDefault="00CA066B" w:rsidP="00CA066B">
      <w:pPr>
        <w:pStyle w:val="NormalHanging12a"/>
      </w:pPr>
      <w:r w:rsidRPr="00C20CBB">
        <w:t>–</w:t>
      </w:r>
      <w:r w:rsidRPr="00C20CBB">
        <w:tab/>
        <w:t>atsižvelgdamas į Biudžeto komiteto pranešimą (A10-0165/2025),</w:t>
      </w:r>
    </w:p>
    <w:p w14:paraId="420ADA44" w14:textId="77777777" w:rsidR="00CA066B" w:rsidRPr="00C20CBB" w:rsidRDefault="00CA066B" w:rsidP="00CA066B">
      <w:pPr>
        <w:pStyle w:val="NormalHanging12a"/>
      </w:pPr>
      <w:r w:rsidRPr="00C20CBB">
        <w:t>A.</w:t>
      </w:r>
      <w:r w:rsidRPr="00C20CBB">
        <w:tab/>
        <w:t>kadangi Taisomojo biudžeto Nr. 2/2025 projekto tikslas – atnaujinti biudžeto pajamų dalį, kad būtų atsižvelgta į naujausius pokyčius, ir papildomai patikslinti biudžeto išlaidų dalį, susijusią su keliais išlaidų punktais,</w:t>
      </w:r>
    </w:p>
    <w:p w14:paraId="35643AD2" w14:textId="77777777" w:rsidR="00CA066B" w:rsidRPr="00C20CBB" w:rsidRDefault="00CA066B" w:rsidP="00CA066B">
      <w:pPr>
        <w:pStyle w:val="NormalHanging12a"/>
      </w:pPr>
      <w:r w:rsidRPr="00C20CBB">
        <w:t>B.</w:t>
      </w:r>
      <w:r w:rsidRPr="00C20CBB">
        <w:tab/>
        <w:t>kadangi Taisomojo biudžeto Nr. 2/2025 projekte numatytas šių nuosavų išteklių prognozių tikslinimas: susijusių su muitais, kurie yra 1 proc. mažesni nei 2024 m. gegužės mėn. prognozė, susijusių su apribota PVM baze, kuri yra 2,4 proc. mažesnė nei 2024 m. gegužės mėn. prognozė, susijusių su neperdirbtomis plastiko pakuočių atliekomis, kurių sumažėjo 3,5 proc., palyginti su 2024 m. gegužės mėn. prognoze, ir susijusių su bendra ES BNP baze, kuri yra 0,5 proc. didesnė nei 2024 m. gegužės mėn. prognozė;</w:t>
      </w:r>
    </w:p>
    <w:p w14:paraId="61315524" w14:textId="77777777" w:rsidR="00CA066B" w:rsidRPr="00C20CBB" w:rsidRDefault="00CA066B" w:rsidP="00CA066B">
      <w:pPr>
        <w:pStyle w:val="NormalHanging12a"/>
      </w:pPr>
      <w:r w:rsidRPr="00C20CBB">
        <w:t>C.</w:t>
      </w:r>
      <w:r w:rsidRPr="00C20CBB">
        <w:tab/>
        <w:t>kadangi Taisomojo biudžeto Nr. 2/2025 projekte taip pat atnaujinamas 2025 m. Jungtinės Karalystės įnašas pagal Susitarimą dėl išstojimo, kuris siekia 1,53 mlrd. EUR, t. y. šiek tiek, 25 mln. EUR, mažesnis, palyginti su į 2025 m. biudžetą įtraukta sąmata;</w:t>
      </w:r>
    </w:p>
    <w:p w14:paraId="3C9C3187" w14:textId="77777777" w:rsidR="00CA066B" w:rsidRPr="00C20CBB" w:rsidRDefault="00CA066B" w:rsidP="00CA066B">
      <w:pPr>
        <w:pStyle w:val="NormalHanging12a"/>
      </w:pPr>
      <w:r w:rsidRPr="00C20CBB">
        <w:t>D.</w:t>
      </w:r>
      <w:r w:rsidRPr="00C20CBB">
        <w:tab/>
        <w:t>kadangi Taisomojo biudžeto Nr. 2/2025 projekte taip pat atsižvelgiama į iki 2025 m. gegužės mėn. pabaigos surinktas baudas, sankcijas už pažeidimus ir neigiamą grąžą, dėl kurių pradinė 2025 m. biudžeto baudų ir sankcijų prognozė padidėja 291 mln. EUR,</w:t>
      </w:r>
    </w:p>
    <w:p w14:paraId="4F24CDA7" w14:textId="77777777" w:rsidR="00CA066B" w:rsidRPr="00C20CBB" w:rsidRDefault="00CA066B" w:rsidP="00CA066B">
      <w:pPr>
        <w:pStyle w:val="NormalHanging12a"/>
      </w:pPr>
      <w:r w:rsidRPr="00C20CBB">
        <w:t>E.</w:t>
      </w:r>
      <w:r w:rsidRPr="00C20CBB">
        <w:tab/>
        <w:t>kadangi, kalbant apie išlaidų dalį, Taisomojo biudžeto Nr. 2/2025 projekte siūloma atnaujinti daugelį įsipareigojimų ir mokėjimų asignavimų punktų, visų pirma 3,5 mlrd. EUR padidinti mokėjimus Europos žemės ūkio fondui kaimo plėtrai,</w:t>
      </w:r>
    </w:p>
    <w:p w14:paraId="51F24FB1" w14:textId="77777777" w:rsidR="00CA066B" w:rsidRPr="00C20CBB" w:rsidRDefault="00CA066B" w:rsidP="00CA066B">
      <w:pPr>
        <w:pStyle w:val="NormalHanging12a"/>
      </w:pPr>
      <w:r w:rsidRPr="00C20CBB">
        <w:t>1.</w:t>
      </w:r>
      <w:r w:rsidRPr="00C20CBB">
        <w:tab/>
        <w:t>atkreipia dėmesį į Komisijos pateiktą Taisomojo biudžeto Nr. 2/2025 projektą;</w:t>
      </w:r>
    </w:p>
    <w:p w14:paraId="57E812D7" w14:textId="789B2C97" w:rsidR="00CA066B" w:rsidRPr="00C20CBB" w:rsidRDefault="00CA066B" w:rsidP="00CA066B">
      <w:pPr>
        <w:pStyle w:val="NormalHanging12a"/>
      </w:pPr>
      <w:r w:rsidRPr="00C20CBB">
        <w:t>2.</w:t>
      </w:r>
      <w:r w:rsidRPr="00C20CBB">
        <w:tab/>
        <w:t>atkreipia dėmesį į tai, kad dėl sumažėjusios nuosavų išteklių, išskyrus BNP, sumos ir papildomų mokėjimų poreikių išlaidų dalyje bendras BNP pagrįstų įnašų poreikis padidėjo 4,3 mlrd. EUR; pripažįsta, kad tai reiškia, jog vienodas 0,527 proc. BNP pareikalavimo tarifas (Taisomojo biudžeto projektas (TBP) Nr. 1/2025) turi būti pakeistas į 0,547 proc.</w:t>
      </w:r>
      <w:r w:rsidR="004A50CE">
        <w:t xml:space="preserve"> (</w:t>
      </w:r>
      <w:r w:rsidR="004A50CE" w:rsidRPr="00C20CBB">
        <w:t>TBP Nr. 2/2025</w:t>
      </w:r>
      <w:r w:rsidR="004A50CE">
        <w:t>)</w:t>
      </w:r>
      <w:r w:rsidRPr="00C20CBB">
        <w:t>;</w:t>
      </w:r>
    </w:p>
    <w:p w14:paraId="7D279E44" w14:textId="194B2510" w:rsidR="00CA066B" w:rsidRPr="00C20CBB" w:rsidRDefault="00CA066B" w:rsidP="00CA066B">
      <w:pPr>
        <w:pStyle w:val="NormalHanging12a"/>
      </w:pPr>
      <w:r w:rsidRPr="00C20CBB">
        <w:t>3.</w:t>
      </w:r>
      <w:r w:rsidRPr="00C20CBB">
        <w:tab/>
        <w:t xml:space="preserve">pabrėžia, kad pagal Taisomojo biudžeto Nr. 2/2025 projektą penkių paramą gaunančių valstybių narių BNP pagrįstų įnašų bendras sumažinimas siekia apie 9,2 mlrd. EUR (bruto); pabrėžia, kad šios nuolaidos yra daromos atsižvelgiant į infliaciją ir todėl didėjo greičiau nei </w:t>
      </w:r>
      <w:r w:rsidR="006B59A3" w:rsidRPr="005A73D6">
        <w:t>daugiamet</w:t>
      </w:r>
      <w:r w:rsidR="006B59A3">
        <w:t>ės</w:t>
      </w:r>
      <w:r w:rsidR="005A73D6" w:rsidRPr="005A73D6">
        <w:t xml:space="preserve"> </w:t>
      </w:r>
      <w:r w:rsidR="006B59A3" w:rsidRPr="005A73D6">
        <w:t>finansin</w:t>
      </w:r>
      <w:r w:rsidR="006B59A3">
        <w:t>ės</w:t>
      </w:r>
      <w:r w:rsidR="005A73D6" w:rsidRPr="005A73D6">
        <w:t xml:space="preserve"> program</w:t>
      </w:r>
      <w:r w:rsidR="005A73D6">
        <w:t>os (</w:t>
      </w:r>
      <w:r w:rsidRPr="00C20CBB">
        <w:t>DFP</w:t>
      </w:r>
      <w:r w:rsidR="005A73D6">
        <w:t>)</w:t>
      </w:r>
      <w:r w:rsidRPr="00C20CBB">
        <w:t xml:space="preserve"> viršutinės ribos, kurios kasmet koreguojamos remiantis 2 proc. defliatoriumi; pabrėžia, kad </w:t>
      </w:r>
      <w:r w:rsidRPr="00C20CBB">
        <w:lastRenderedPageBreak/>
        <w:t>siekiant reaguoti į įvairias pastarojo meto krizes Sąjungos biudžeto lėšų poreikis gerokai padidėjo; atkreipia dėmesį į tai, kad dėl šio su nuolaidomis susijusio neatitikimo didesnė našta tenka kitoms valstybėms narėms;</w:t>
      </w:r>
    </w:p>
    <w:p w14:paraId="73EF8093" w14:textId="77777777" w:rsidR="00CA066B" w:rsidRPr="00C20CBB" w:rsidRDefault="00CA066B" w:rsidP="00CA066B">
      <w:pPr>
        <w:pStyle w:val="NormalHanging12a"/>
      </w:pPr>
      <w:r w:rsidRPr="00C20CBB">
        <w:t>4.</w:t>
      </w:r>
      <w:r w:rsidRPr="00C20CBB">
        <w:tab/>
        <w:t>palankiai vertina naujas Komisijos pastangas pateikti daugiau galimų naujų Sąjungos biudžeto pajamų šaltinių; šiuo požiūriu atkreipia dėmesį į 2025 m. liepos 16 d. Komisijos pasiūlymą dėl Tarybos sprendimo dėl Europos Sąjungos nuosavų išteklių sistemos; mano, kad siekiant padidinti biudžetui skirtus išteklius, būtina skubiai patvirtinti naujus nuosavus išteklius; pabrėžia, kad nauji nuosavi ištekliai turi būti sąžiningi ir yra labai svarbūs ne tik siekiant sudaryti sąlygas grąžinti pagal priemonę „NextGenerationEU“ pasiskolintas lėšas, bet ir užtikrinti, kad Sąjunga būtų pasirengusi patenkinti savo didesnius išlaidų poreikius; atsižvelgdamas į tai primena savo ilgalaikę poziciją, kad neplanuotos pajamos iš baudų ir sankcijų arba lygiavertės jų sumos turėtų būti naudojamos kaip papildomos Sąjungos biudžeto pajamos reagavimo į krizes ar nenumatytų poreikių tikslais ir dėl to atitinkamai neturėtų sumažėti BNP pagrįsti įnašai; pabrėžia, kad pagal dabartinę DFP tokios sumos yra grąžinamos valstybėms narėms;</w:t>
      </w:r>
    </w:p>
    <w:p w14:paraId="46247A91" w14:textId="77777777" w:rsidR="00CA066B" w:rsidRPr="00C20CBB" w:rsidRDefault="00CA066B" w:rsidP="00CA066B">
      <w:pPr>
        <w:pStyle w:val="NormalHanging12a"/>
      </w:pPr>
      <w:r w:rsidRPr="00C20CBB">
        <w:t>5.</w:t>
      </w:r>
      <w:r w:rsidRPr="00C20CBB">
        <w:tab/>
        <w:t>pabrėžia, kad atsižvelgiant į per pastarojo meto krizes (pandemiją, energetinius sukrėtimus ir karą Ukrainoje) įgytą patirtį reikia rimtai apsvarstyti kitos DFP lankstumo klausimą; pakartoja savo poziciją, kad būsima lankstumo priemonė turėtų būti finansuojama iš kelių papildomų finansavimo šaltinių, įskaitant praėjusių metų metinį perteklių, baudas ir grįžtamąsias lėšas; atkreipia dėmesį į atitinkamas siūlomo DFP reglamento nuostatas, pagal kurias Komisija siūlo į lankstumo priemonę įtraukti tam tikras sumas, atsižvelgiant į ilgalaikius Parlamento reikalavimus; vis dėlto primena, kad lankstumas neturėtų būti užtikrinamas aukojant skaidrumą;</w:t>
      </w:r>
    </w:p>
    <w:p w14:paraId="007EED90" w14:textId="77777777" w:rsidR="00CA066B" w:rsidRPr="00C20CBB" w:rsidRDefault="00CA066B" w:rsidP="00CA066B">
      <w:pPr>
        <w:pStyle w:val="NormalHanging12a"/>
      </w:pPr>
      <w:r w:rsidRPr="00C20CBB">
        <w:t>6.</w:t>
      </w:r>
      <w:r w:rsidRPr="00C20CBB">
        <w:tab/>
        <w:t>palankiai vertina tai, kad padidinti Žemės ūkio fondui kaimo plėtrai skirti mokėjimų asignavimai, nes tai rodo, kad 2023–2027 m. BŽŪP strateginių planų, taip pat intervencinių priemonių pagal 2014–2020 m. programas įgyvendinimas spartėja ir taip mažėja ankstesniais biudžetiniais metais susikaupę vėlavimai;</w:t>
      </w:r>
    </w:p>
    <w:p w14:paraId="206C5B78" w14:textId="77777777" w:rsidR="00CA066B" w:rsidRPr="00C20CBB" w:rsidRDefault="00CA066B" w:rsidP="00CA066B">
      <w:pPr>
        <w:pStyle w:val="NormalHanging12a"/>
      </w:pPr>
      <w:r w:rsidRPr="00C20CBB">
        <w:t>7.</w:t>
      </w:r>
      <w:r w:rsidRPr="00C20CBB">
        <w:tab/>
        <w:t>palankiai vertina atliekamus patobulinimus pasienio anglies dioksido korekcinio mechanizmo (PADKM) srityje, tačiau klausia, kodėl supaprastinus PADKM reglamentą poreikiai, užuot sumažėję dėl didesnio veiksmingumo, turėtų padidėti maždaug 8 mln. EUR;</w:t>
      </w:r>
    </w:p>
    <w:p w14:paraId="77FDE03C" w14:textId="563AF9FE" w:rsidR="00CA066B" w:rsidRPr="00C20CBB" w:rsidRDefault="00CA066B" w:rsidP="00CA066B">
      <w:pPr>
        <w:pStyle w:val="NormalHanging12a"/>
      </w:pPr>
      <w:r w:rsidRPr="00C20CBB">
        <w:t>8.</w:t>
      </w:r>
      <w:r w:rsidRPr="00C20CBB">
        <w:tab/>
        <w:t xml:space="preserve">be to, mano, kad siūlymas kompensuoti papildomus </w:t>
      </w:r>
      <w:r w:rsidR="00771014" w:rsidRPr="00C20CBB">
        <w:t xml:space="preserve">poreikius </w:t>
      </w:r>
      <w:r w:rsidR="00771014">
        <w:t xml:space="preserve">dėl </w:t>
      </w:r>
      <w:r w:rsidRPr="00C20CBB">
        <w:t xml:space="preserve">centralizuotos muitinės sistemos pagal 1 išlaidų kategoriją ir </w:t>
      </w:r>
      <w:r w:rsidR="00771014">
        <w:t xml:space="preserve">dėl </w:t>
      </w:r>
      <w:r w:rsidRPr="00C20CBB">
        <w:t xml:space="preserve">PADKM pagal 3 išlaidų kategoriją atitinkamai sumažinant asignavimus pagal 4 išlaidų kategorijos Muitinio tikrinimo įrangos priemonę yra ginčytinas; apgailestauja, kad dėl dabartinės biudžeto padėties Komisija perskirsto dideles </w:t>
      </w:r>
      <w:r w:rsidR="00AD74B1">
        <w:t>įvairių</w:t>
      </w:r>
      <w:r w:rsidR="00AD74B1" w:rsidRPr="00C20CBB">
        <w:t xml:space="preserve"> </w:t>
      </w:r>
      <w:r w:rsidRPr="00C20CBB">
        <w:t>išlaidų kategorijų lėšų sumas, ir primena savo ilgalaikę poziciją, kad nustatant naujus politikos prioritetus, užduotis ar poreikius reikėtų numatyti naują finansavimą; primygtinai pabrėžia, kad pasikartojantys perskirstymai nėra perspektyvus būdas finansuoti Sąjungos prioritetus, nes jie kenkia investicijoms ir kelia pavojų sutartų politikos tikslų įgyvendinimui;</w:t>
      </w:r>
    </w:p>
    <w:p w14:paraId="61905ABD" w14:textId="77777777" w:rsidR="00CA066B" w:rsidRPr="00C20CBB" w:rsidRDefault="00CA066B" w:rsidP="00CA066B">
      <w:pPr>
        <w:pStyle w:val="NormalHanging12a"/>
      </w:pPr>
      <w:r w:rsidRPr="00C20CBB">
        <w:t>9.</w:t>
      </w:r>
      <w:r w:rsidRPr="00C20CBB">
        <w:tab/>
        <w:t>pabrėžia ir palankiai vertina tai, kad kai kurie ES kovos su pinigų plovimu institucijos etatų plano pakeitimai sudarys sąlygas šiai agentūrai laiku ir veiksmingai atlikti savo užduotis; primena, kad ši reikšminga institucija atlieka itin svarbų vaidmenį apsaugant mokesčių mokėtojų pinigus ir ją tvirtai remia Europos Parlamentas;</w:t>
      </w:r>
    </w:p>
    <w:p w14:paraId="79F5ED55" w14:textId="77777777" w:rsidR="00CA066B" w:rsidRPr="00C20CBB" w:rsidRDefault="00CA066B" w:rsidP="00CA066B">
      <w:pPr>
        <w:pStyle w:val="NormalHanging12a"/>
      </w:pPr>
      <w:r w:rsidRPr="00C20CBB">
        <w:lastRenderedPageBreak/>
        <w:t>10.</w:t>
      </w:r>
      <w:r w:rsidRPr="00C20CBB">
        <w:tab/>
        <w:t>palankiai vertina Bulgarijos pažangą įvedant eurą ir visapusiškai remia papildomas priemones, kad keičiant valiutą būtų vykdoma tinkama ir tikslinga komunikacijos veikla; pripažįsta, kad dėl to, jog 2b išlaidų kategorijoje nėra nepaskirstytos maržos, šiam tikslui turi būti mobilizuotos lankstumo priemonės lėšos;</w:t>
      </w:r>
    </w:p>
    <w:p w14:paraId="6A9ECC90" w14:textId="77777777" w:rsidR="00CA066B" w:rsidRPr="00C20CBB" w:rsidRDefault="00CA066B" w:rsidP="00CA066B">
      <w:pPr>
        <w:pStyle w:val="NormalHanging12a"/>
      </w:pPr>
      <w:r w:rsidRPr="00C20CBB">
        <w:t>11.</w:t>
      </w:r>
      <w:r w:rsidRPr="00C20CBB">
        <w:tab/>
        <w:t>pritaria Tarybos pozicijai dėl Taisomojo biudžeto Nr. 2/2025 projekto;</w:t>
      </w:r>
    </w:p>
    <w:p w14:paraId="691AA5B9" w14:textId="77777777" w:rsidR="00CA066B" w:rsidRPr="00C20CBB" w:rsidRDefault="00CA066B" w:rsidP="00CA066B">
      <w:pPr>
        <w:pStyle w:val="NormalHanging12a"/>
      </w:pPr>
      <w:r w:rsidRPr="00C20CBB">
        <w:t>12.</w:t>
      </w:r>
      <w:r w:rsidRPr="00C20CBB">
        <w:tab/>
        <w:t xml:space="preserve">paveda Pirmininkei paskelbti, kad Taisomasis biudžetas Nr. 2/2025 yra galutinai priimtas, ir pasirūpinti, kad jis būtų paskelbtas </w:t>
      </w:r>
      <w:r w:rsidRPr="00C20CBB">
        <w:rPr>
          <w:i/>
          <w:iCs/>
        </w:rPr>
        <w:t>Europos Sąjungos oficialiajame leidinyje</w:t>
      </w:r>
      <w:r w:rsidRPr="00C20CBB">
        <w:t>;</w:t>
      </w:r>
    </w:p>
    <w:p w14:paraId="74C78ED5" w14:textId="47F2BAF6" w:rsidR="00E365E1" w:rsidRPr="00C20CBB" w:rsidRDefault="00CA066B" w:rsidP="004A4D4C">
      <w:pPr>
        <w:ind w:left="567" w:hanging="567"/>
      </w:pPr>
      <w:r w:rsidRPr="00C20CBB">
        <w:t>13.</w:t>
      </w:r>
      <w:r w:rsidRPr="00C20CBB">
        <w:tab/>
        <w:t>paveda Pirmininkei perduoti šią rezoliuciją Tarybai, Komisijai, kitoms atitinkamoms institucijoms bei įstaigoms ir nacionaliniams parlamentams.</w:t>
      </w:r>
    </w:p>
    <w:sectPr w:rsidR="00E365E1" w:rsidRPr="00C20CBB" w:rsidSect="00C20CB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D81A06" w14:textId="77777777" w:rsidR="00AD4D97" w:rsidRPr="00C20CBB" w:rsidRDefault="00AD4D97">
      <w:r w:rsidRPr="00C20CBB">
        <w:separator/>
      </w:r>
    </w:p>
  </w:endnote>
  <w:endnote w:type="continuationSeparator" w:id="0">
    <w:p w14:paraId="53ABD374" w14:textId="77777777" w:rsidR="00AD4D97" w:rsidRPr="00C20CBB" w:rsidRDefault="00AD4D97">
      <w:r w:rsidRPr="00C20CB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D7750" w14:textId="77777777" w:rsidR="00064002" w:rsidRPr="00C20CB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DEBB93" w14:textId="77777777" w:rsidR="00064002" w:rsidRPr="00C20CB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95E46D" w14:textId="77777777" w:rsidR="00064002" w:rsidRPr="00C20CB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FFFC8C" w14:textId="77777777" w:rsidR="00AD4D97" w:rsidRPr="00C20CBB" w:rsidRDefault="00AD4D97">
      <w:r w:rsidRPr="00C20CBB">
        <w:separator/>
      </w:r>
    </w:p>
  </w:footnote>
  <w:footnote w:type="continuationSeparator" w:id="0">
    <w:p w14:paraId="388A2FCE" w14:textId="77777777" w:rsidR="00AD4D97" w:rsidRPr="00C20CBB" w:rsidRDefault="00AD4D97">
      <w:r w:rsidRPr="00C20CBB">
        <w:continuationSeparator/>
      </w:r>
    </w:p>
  </w:footnote>
  <w:footnote w:id="1">
    <w:p w14:paraId="4EFB0842" w14:textId="2F955A9E" w:rsidR="00CA066B" w:rsidRPr="00C20CBB" w:rsidRDefault="00CA066B" w:rsidP="00C20CBB">
      <w:pPr>
        <w:pStyle w:val="FootnoteText"/>
        <w:ind w:left="567" w:hanging="567"/>
        <w:rPr>
          <w:sz w:val="24"/>
          <w:lang w:val="lt-LT"/>
        </w:rPr>
      </w:pPr>
      <w:r w:rsidRPr="00C20CBB">
        <w:rPr>
          <w:rStyle w:val="FootnoteReference"/>
          <w:sz w:val="24"/>
          <w:lang w:val="lt-LT"/>
        </w:rPr>
        <w:footnoteRef/>
      </w:r>
      <w:r w:rsidR="00C20CBB" w:rsidRPr="00C20CBB">
        <w:rPr>
          <w:sz w:val="24"/>
          <w:lang w:val="lt-LT"/>
        </w:rPr>
        <w:t xml:space="preserve"> </w:t>
      </w:r>
      <w:r w:rsidR="00C20CBB" w:rsidRPr="00C20CBB">
        <w:rPr>
          <w:sz w:val="24"/>
          <w:lang w:val="lt-LT"/>
        </w:rPr>
        <w:tab/>
      </w:r>
      <w:r w:rsidRPr="00C20CBB">
        <w:rPr>
          <w:sz w:val="24"/>
          <w:lang w:val="lt-LT"/>
        </w:rPr>
        <w:t xml:space="preserve">OL L, 2024/2509, 2024 9 26, ELI: </w:t>
      </w:r>
      <w:hyperlink r:id="rId1" w:history="1">
        <w:r w:rsidRPr="00C20CBB">
          <w:rPr>
            <w:rStyle w:val="Hyperlink"/>
            <w:sz w:val="24"/>
            <w:lang w:val="lt-LT"/>
          </w:rPr>
          <w:t>http://data.europa.eu/eli/reg/2024/2509/oj</w:t>
        </w:r>
      </w:hyperlink>
      <w:r w:rsidRPr="00C20CBB">
        <w:rPr>
          <w:sz w:val="24"/>
          <w:lang w:val="lt-LT"/>
        </w:rPr>
        <w:t>.</w:t>
      </w:r>
    </w:p>
  </w:footnote>
  <w:footnote w:id="2">
    <w:p w14:paraId="0F78B0FC" w14:textId="0FC234F8" w:rsidR="00CA066B" w:rsidRPr="00C20CBB" w:rsidRDefault="00CA066B" w:rsidP="00C20CBB">
      <w:pPr>
        <w:pStyle w:val="FootnoteText"/>
        <w:ind w:left="567" w:hanging="567"/>
        <w:rPr>
          <w:rStyle w:val="Hyperlink"/>
          <w:sz w:val="24"/>
          <w:lang w:val="lt-LT"/>
        </w:rPr>
      </w:pPr>
      <w:r w:rsidRPr="00C20CBB">
        <w:rPr>
          <w:rStyle w:val="FootnoteReference"/>
          <w:sz w:val="24"/>
          <w:lang w:val="lt-LT"/>
        </w:rPr>
        <w:footnoteRef/>
      </w:r>
      <w:r w:rsidR="00C20CBB" w:rsidRPr="00C20CBB">
        <w:rPr>
          <w:sz w:val="24"/>
          <w:lang w:val="lt-LT"/>
        </w:rPr>
        <w:t xml:space="preserve"> </w:t>
      </w:r>
      <w:r w:rsidR="00C20CBB" w:rsidRPr="00C20CBB">
        <w:rPr>
          <w:sz w:val="24"/>
          <w:lang w:val="lt-LT"/>
        </w:rPr>
        <w:tab/>
      </w:r>
      <w:r w:rsidRPr="00C20CBB">
        <w:rPr>
          <w:sz w:val="24"/>
          <w:lang w:val="lt-LT"/>
        </w:rPr>
        <w:t xml:space="preserve">OL L, 2025/31, 2025 2 27, ELI: </w:t>
      </w:r>
      <w:hyperlink r:id="rId2" w:history="1">
        <w:r w:rsidRPr="00C20CBB">
          <w:rPr>
            <w:rStyle w:val="Hyperlink"/>
            <w:sz w:val="24"/>
            <w:lang w:val="lt-LT"/>
          </w:rPr>
          <w:t>http://data.europa.eu/eli/budget/2025/31/oj</w:t>
        </w:r>
      </w:hyperlink>
      <w:r w:rsidRPr="00C20CBB">
        <w:rPr>
          <w:rStyle w:val="Hyperlink"/>
          <w:sz w:val="24"/>
          <w:lang w:val="lt-LT"/>
        </w:rPr>
        <w:t>.</w:t>
      </w:r>
    </w:p>
  </w:footnote>
  <w:footnote w:id="3">
    <w:p w14:paraId="242A6155" w14:textId="2876D235" w:rsidR="00CA066B" w:rsidRPr="00C20CBB" w:rsidRDefault="00CA066B" w:rsidP="00C20CBB">
      <w:pPr>
        <w:pStyle w:val="FootnoteText"/>
        <w:ind w:left="567" w:hanging="567"/>
        <w:rPr>
          <w:rStyle w:val="Hyperlink"/>
          <w:sz w:val="24"/>
          <w:lang w:val="lt-LT"/>
        </w:rPr>
      </w:pPr>
      <w:r w:rsidRPr="00C20CBB">
        <w:rPr>
          <w:rStyle w:val="FootnoteReference"/>
          <w:sz w:val="24"/>
          <w:lang w:val="lt-LT"/>
        </w:rPr>
        <w:footnoteRef/>
      </w:r>
      <w:r w:rsidR="00C20CBB" w:rsidRPr="00C20CBB">
        <w:rPr>
          <w:sz w:val="24"/>
          <w:lang w:val="lt-LT"/>
        </w:rPr>
        <w:t xml:space="preserve"> </w:t>
      </w:r>
      <w:r w:rsidR="00C20CBB" w:rsidRPr="00C20CBB">
        <w:rPr>
          <w:sz w:val="24"/>
          <w:lang w:val="lt-LT"/>
        </w:rPr>
        <w:tab/>
      </w:r>
      <w:r w:rsidRPr="00C20CBB">
        <w:rPr>
          <w:sz w:val="24"/>
          <w:lang w:val="lt-LT"/>
        </w:rPr>
        <w:t>OL L 433 I, 2020 12 22, p. </w:t>
      </w:r>
      <w:r w:rsidRPr="00C20CBB">
        <w:rPr>
          <w:sz w:val="24"/>
          <w:lang w:val="lt-LT"/>
        </w:rPr>
        <w:t xml:space="preserve">11, ELI: </w:t>
      </w:r>
      <w:hyperlink r:id="rId3" w:history="1">
        <w:r w:rsidRPr="00C20CBB">
          <w:rPr>
            <w:rStyle w:val="Hyperlink"/>
            <w:sz w:val="24"/>
            <w:lang w:val="lt-LT"/>
          </w:rPr>
          <w:t>http://data.europa.eu/eli/reg/2020/433/oj</w:t>
        </w:r>
      </w:hyperlink>
      <w:r w:rsidRPr="00C20CBB">
        <w:rPr>
          <w:rStyle w:val="Hyperlink"/>
          <w:sz w:val="24"/>
          <w:lang w:val="lt-LT"/>
        </w:rPr>
        <w:t>.</w:t>
      </w:r>
    </w:p>
  </w:footnote>
  <w:footnote w:id="4">
    <w:p w14:paraId="08E4ACAF" w14:textId="716AF2FF" w:rsidR="00CA066B" w:rsidRPr="00C20CBB" w:rsidRDefault="00CA066B" w:rsidP="00C20CBB">
      <w:pPr>
        <w:pStyle w:val="FootnoteText"/>
        <w:ind w:left="567" w:hanging="567"/>
        <w:rPr>
          <w:sz w:val="24"/>
          <w:lang w:val="lt-LT"/>
        </w:rPr>
      </w:pPr>
      <w:r w:rsidRPr="00C20CBB">
        <w:rPr>
          <w:rStyle w:val="FootnoteReference"/>
          <w:sz w:val="24"/>
          <w:lang w:val="lt-LT"/>
        </w:rPr>
        <w:footnoteRef/>
      </w:r>
      <w:r w:rsidR="00C20CBB" w:rsidRPr="00C20CBB">
        <w:rPr>
          <w:sz w:val="24"/>
          <w:lang w:val="lt-LT"/>
        </w:rPr>
        <w:t xml:space="preserve"> </w:t>
      </w:r>
      <w:r w:rsidR="00C20CBB" w:rsidRPr="00C20CBB">
        <w:rPr>
          <w:sz w:val="24"/>
          <w:lang w:val="lt-LT"/>
        </w:rPr>
        <w:tab/>
      </w:r>
      <w:r w:rsidRPr="00C20CBB">
        <w:rPr>
          <w:sz w:val="24"/>
          <w:lang w:val="lt-LT"/>
        </w:rPr>
        <w:t>OL L 433 I, 2020 12 22, p. </w:t>
      </w:r>
      <w:r w:rsidRPr="00C20CBB">
        <w:rPr>
          <w:sz w:val="24"/>
          <w:lang w:val="lt-LT"/>
        </w:rPr>
        <w:t xml:space="preserve">28, ELI: </w:t>
      </w:r>
      <w:hyperlink r:id="rId4" w:history="1">
        <w:r w:rsidRPr="00C20CBB">
          <w:rPr>
            <w:rStyle w:val="Hyperlink"/>
            <w:sz w:val="24"/>
            <w:lang w:val="lt-LT"/>
          </w:rPr>
          <w:t>http://data.europa.eu/eli/agree_interinstit/2020/1222/oj</w:t>
        </w:r>
      </w:hyperlink>
      <w:r w:rsidRPr="00C20CBB">
        <w:rPr>
          <w:rStyle w:val="Hyperlink"/>
          <w:sz w:val="24"/>
          <w:lang w:val="lt-LT"/>
        </w:rPr>
        <w:t>.</w:t>
      </w:r>
    </w:p>
  </w:footnote>
  <w:footnote w:id="5">
    <w:p w14:paraId="47C16EE5" w14:textId="2EF9263C" w:rsidR="00CA066B" w:rsidRPr="00C20CBB" w:rsidRDefault="00CA066B" w:rsidP="00C20CBB">
      <w:pPr>
        <w:pStyle w:val="FootnoteText"/>
        <w:ind w:left="567" w:hanging="567"/>
        <w:rPr>
          <w:sz w:val="24"/>
          <w:lang w:val="lt-LT"/>
        </w:rPr>
      </w:pPr>
      <w:r w:rsidRPr="00C20CBB">
        <w:rPr>
          <w:rStyle w:val="FootnoteReference"/>
          <w:sz w:val="24"/>
          <w:lang w:val="lt-LT"/>
        </w:rPr>
        <w:footnoteRef/>
      </w:r>
      <w:r w:rsidR="00C20CBB" w:rsidRPr="00C20CBB">
        <w:rPr>
          <w:sz w:val="24"/>
          <w:lang w:val="lt-LT"/>
        </w:rPr>
        <w:t xml:space="preserve"> </w:t>
      </w:r>
      <w:r w:rsidR="00C20CBB" w:rsidRPr="00C20CBB">
        <w:rPr>
          <w:sz w:val="24"/>
          <w:lang w:val="lt-LT"/>
        </w:rPr>
        <w:tab/>
      </w:r>
      <w:r w:rsidRPr="00C20CBB">
        <w:rPr>
          <w:sz w:val="24"/>
          <w:lang w:val="lt-LT"/>
        </w:rPr>
        <w:t>OL L 424, 2020 12 15, p. </w:t>
      </w:r>
      <w:r w:rsidRPr="00C20CBB">
        <w:rPr>
          <w:sz w:val="24"/>
          <w:lang w:val="lt-LT"/>
        </w:rPr>
        <w:t xml:space="preserve">1, ELI: </w:t>
      </w:r>
      <w:hyperlink r:id="rId5" w:history="1">
        <w:r w:rsidRPr="00C20CBB">
          <w:rPr>
            <w:rStyle w:val="Hyperlink"/>
            <w:sz w:val="24"/>
            <w:lang w:val="lt-LT"/>
          </w:rPr>
          <w:t>http://data.europa.eu/eli/dec/2020/2053/oj</w:t>
        </w:r>
      </w:hyperlink>
      <w:r w:rsidRPr="00C20CBB">
        <w:rPr>
          <w:rStyle w:val="Hyperlink"/>
          <w:sz w:val="24"/>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829EA3" w14:textId="77777777" w:rsidR="00064002" w:rsidRPr="00C20CB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3A999A" w14:textId="77777777" w:rsidR="00064002" w:rsidRPr="00C20CB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157A5E" w14:textId="77777777" w:rsidR="00064002" w:rsidRPr="00C20CB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95181624">
    <w:abstractNumId w:val="9"/>
  </w:num>
  <w:num w:numId="2" w16cid:durableId="1224295963">
    <w:abstractNumId w:val="9"/>
  </w:num>
  <w:num w:numId="3" w16cid:durableId="484049055">
    <w:abstractNumId w:val="7"/>
  </w:num>
  <w:num w:numId="4" w16cid:durableId="1237938923">
    <w:abstractNumId w:val="7"/>
  </w:num>
  <w:num w:numId="5" w16cid:durableId="1879968523">
    <w:abstractNumId w:val="6"/>
  </w:num>
  <w:num w:numId="6" w16cid:durableId="562109712">
    <w:abstractNumId w:val="6"/>
  </w:num>
  <w:num w:numId="7" w16cid:durableId="795566142">
    <w:abstractNumId w:val="5"/>
  </w:num>
  <w:num w:numId="8" w16cid:durableId="1118794830">
    <w:abstractNumId w:val="5"/>
  </w:num>
  <w:num w:numId="9" w16cid:durableId="539510472">
    <w:abstractNumId w:val="4"/>
  </w:num>
  <w:num w:numId="10" w16cid:durableId="2031491228">
    <w:abstractNumId w:val="4"/>
  </w:num>
  <w:num w:numId="11" w16cid:durableId="1972318297">
    <w:abstractNumId w:val="8"/>
  </w:num>
  <w:num w:numId="12" w16cid:durableId="967317459">
    <w:abstractNumId w:val="8"/>
  </w:num>
  <w:num w:numId="13" w16cid:durableId="1704668551">
    <w:abstractNumId w:val="3"/>
  </w:num>
  <w:num w:numId="14" w16cid:durableId="2116319522">
    <w:abstractNumId w:val="3"/>
  </w:num>
  <w:num w:numId="15" w16cid:durableId="107312169">
    <w:abstractNumId w:val="2"/>
  </w:num>
  <w:num w:numId="16" w16cid:durableId="1067189069">
    <w:abstractNumId w:val="2"/>
  </w:num>
  <w:num w:numId="17" w16cid:durableId="780730924">
    <w:abstractNumId w:val="1"/>
  </w:num>
  <w:num w:numId="18" w16cid:durableId="805318379">
    <w:abstractNumId w:val="1"/>
  </w:num>
  <w:num w:numId="19" w16cid:durableId="664089873">
    <w:abstractNumId w:val="0"/>
  </w:num>
  <w:num w:numId="20" w16cid:durableId="1969242772">
    <w:abstractNumId w:val="0"/>
  </w:num>
  <w:num w:numId="21" w16cid:durableId="111362405">
    <w:abstractNumId w:val="9"/>
  </w:num>
  <w:num w:numId="22" w16cid:durableId="216667844">
    <w:abstractNumId w:val="7"/>
  </w:num>
  <w:num w:numId="23" w16cid:durableId="813371334">
    <w:abstractNumId w:val="6"/>
  </w:num>
  <w:num w:numId="24" w16cid:durableId="1528526330">
    <w:abstractNumId w:val="5"/>
  </w:num>
  <w:num w:numId="25" w16cid:durableId="1450926910">
    <w:abstractNumId w:val="4"/>
  </w:num>
  <w:num w:numId="26" w16cid:durableId="1481731977">
    <w:abstractNumId w:val="8"/>
  </w:num>
  <w:num w:numId="27" w16cid:durableId="67315380">
    <w:abstractNumId w:val="3"/>
  </w:num>
  <w:num w:numId="28" w16cid:durableId="391000048">
    <w:abstractNumId w:val="2"/>
  </w:num>
  <w:num w:numId="29" w16cid:durableId="690763097">
    <w:abstractNumId w:val="1"/>
  </w:num>
  <w:num w:numId="30" w16cid:durableId="948009395">
    <w:abstractNumId w:val="0"/>
  </w:num>
  <w:num w:numId="31" w16cid:durableId="356737299">
    <w:abstractNumId w:val="9"/>
  </w:num>
  <w:num w:numId="32" w16cid:durableId="2006934523">
    <w:abstractNumId w:val="7"/>
  </w:num>
  <w:num w:numId="33" w16cid:durableId="487139168">
    <w:abstractNumId w:val="6"/>
  </w:num>
  <w:num w:numId="34" w16cid:durableId="305282322">
    <w:abstractNumId w:val="5"/>
  </w:num>
  <w:num w:numId="35" w16cid:durableId="869606545">
    <w:abstractNumId w:val="4"/>
  </w:num>
  <w:num w:numId="36" w16cid:durableId="1632713046">
    <w:abstractNumId w:val="8"/>
  </w:num>
  <w:num w:numId="37" w16cid:durableId="1193375039">
    <w:abstractNumId w:val="3"/>
  </w:num>
  <w:num w:numId="38" w16cid:durableId="816386342">
    <w:abstractNumId w:val="2"/>
  </w:num>
  <w:num w:numId="39" w16cid:durableId="1230773207">
    <w:abstractNumId w:val="1"/>
  </w:num>
  <w:num w:numId="40" w16cid:durableId="1272786044">
    <w:abstractNumId w:val="0"/>
  </w:num>
  <w:num w:numId="41" w16cid:durableId="2052881906">
    <w:abstractNumId w:val="10"/>
  </w:num>
  <w:num w:numId="42" w16cid:durableId="130946445">
    <w:abstractNumId w:val="10"/>
  </w:num>
  <w:num w:numId="43" w16cid:durableId="1440644752">
    <w:abstractNumId w:val="10"/>
  </w:num>
  <w:num w:numId="44" w16cid:durableId="184339900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3"/>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65/2025"/>
    <w:docVar w:name="dvlangue" w:val="LT"/>
    <w:docVar w:name="dvnumam" w:val="0"/>
    <w:docVar w:name="dvpe" w:val="776.838"/>
    <w:docVar w:name="dvrapporteur" w:val="Pranešėjas: "/>
    <w:docVar w:name="dvtitre" w:val="2025 m. spalio XX d. Europos Parlamento teisėkūros rezoliucija dėl Tarybos pozicijos dėl 2025 finansinių metų Europos Sąjungos taisomojo biudžeto Nr. 2/2025 projekto – Pajamų (nuosavų išteklių) atnaujinimas ir išlaidų patikslinimai(12353/2025 – C10-02029/2025 – 2025/0206(BUD))"/>
  </w:docVars>
  <w:rsids>
    <w:rsidRoot w:val="00AD4D97"/>
    <w:rsid w:val="00002272"/>
    <w:rsid w:val="00064002"/>
    <w:rsid w:val="000677B9"/>
    <w:rsid w:val="000831BA"/>
    <w:rsid w:val="000A42CC"/>
    <w:rsid w:val="000E7DD9"/>
    <w:rsid w:val="000F5EAB"/>
    <w:rsid w:val="0010095E"/>
    <w:rsid w:val="00120822"/>
    <w:rsid w:val="00125B37"/>
    <w:rsid w:val="00187494"/>
    <w:rsid w:val="001B5A3E"/>
    <w:rsid w:val="001F32AE"/>
    <w:rsid w:val="002767FF"/>
    <w:rsid w:val="002B18FE"/>
    <w:rsid w:val="002B5493"/>
    <w:rsid w:val="00343214"/>
    <w:rsid w:val="0035599F"/>
    <w:rsid w:val="00361C00"/>
    <w:rsid w:val="00395FA1"/>
    <w:rsid w:val="003E15D4"/>
    <w:rsid w:val="00411CCE"/>
    <w:rsid w:val="0041666E"/>
    <w:rsid w:val="00421060"/>
    <w:rsid w:val="00471C19"/>
    <w:rsid w:val="004867E3"/>
    <w:rsid w:val="00494A28"/>
    <w:rsid w:val="004A4D4C"/>
    <w:rsid w:val="004A50CE"/>
    <w:rsid w:val="004C0004"/>
    <w:rsid w:val="004C5D52"/>
    <w:rsid w:val="005030FC"/>
    <w:rsid w:val="0050519A"/>
    <w:rsid w:val="005072A1"/>
    <w:rsid w:val="00510904"/>
    <w:rsid w:val="00514517"/>
    <w:rsid w:val="00545827"/>
    <w:rsid w:val="00560270"/>
    <w:rsid w:val="005A73D6"/>
    <w:rsid w:val="005C2568"/>
    <w:rsid w:val="005F1B17"/>
    <w:rsid w:val="006037C0"/>
    <w:rsid w:val="006631B6"/>
    <w:rsid w:val="00680577"/>
    <w:rsid w:val="006B59A3"/>
    <w:rsid w:val="006F74FA"/>
    <w:rsid w:val="00731ADD"/>
    <w:rsid w:val="00734777"/>
    <w:rsid w:val="00747932"/>
    <w:rsid w:val="00751A4A"/>
    <w:rsid w:val="00756632"/>
    <w:rsid w:val="00762C74"/>
    <w:rsid w:val="00771014"/>
    <w:rsid w:val="00786EC0"/>
    <w:rsid w:val="007D1690"/>
    <w:rsid w:val="007E22AD"/>
    <w:rsid w:val="00817416"/>
    <w:rsid w:val="00842779"/>
    <w:rsid w:val="00865F67"/>
    <w:rsid w:val="00881A7B"/>
    <w:rsid w:val="008840E5"/>
    <w:rsid w:val="00887B3E"/>
    <w:rsid w:val="008C2AC6"/>
    <w:rsid w:val="008D12C8"/>
    <w:rsid w:val="00930C23"/>
    <w:rsid w:val="0093193B"/>
    <w:rsid w:val="009509D8"/>
    <w:rsid w:val="00950B64"/>
    <w:rsid w:val="00981893"/>
    <w:rsid w:val="00A1687D"/>
    <w:rsid w:val="00A4342C"/>
    <w:rsid w:val="00A43E52"/>
    <w:rsid w:val="00A4678D"/>
    <w:rsid w:val="00A778C7"/>
    <w:rsid w:val="00AB441E"/>
    <w:rsid w:val="00AB6293"/>
    <w:rsid w:val="00AD4D97"/>
    <w:rsid w:val="00AD74B1"/>
    <w:rsid w:val="00AE0928"/>
    <w:rsid w:val="00AF3B82"/>
    <w:rsid w:val="00B12E95"/>
    <w:rsid w:val="00B22876"/>
    <w:rsid w:val="00B558F0"/>
    <w:rsid w:val="00B71CB3"/>
    <w:rsid w:val="00BD48FE"/>
    <w:rsid w:val="00BD7BD8"/>
    <w:rsid w:val="00BE6ADC"/>
    <w:rsid w:val="00C05BFE"/>
    <w:rsid w:val="00C20CBB"/>
    <w:rsid w:val="00C23CD4"/>
    <w:rsid w:val="00C61C0C"/>
    <w:rsid w:val="00C941CB"/>
    <w:rsid w:val="00C94BCA"/>
    <w:rsid w:val="00CA066B"/>
    <w:rsid w:val="00CC2357"/>
    <w:rsid w:val="00CF071A"/>
    <w:rsid w:val="00D058B8"/>
    <w:rsid w:val="00D56C11"/>
    <w:rsid w:val="00D834A0"/>
    <w:rsid w:val="00D872DF"/>
    <w:rsid w:val="00D91E21"/>
    <w:rsid w:val="00DA7FCD"/>
    <w:rsid w:val="00E175DD"/>
    <w:rsid w:val="00E365E1"/>
    <w:rsid w:val="00E820A4"/>
    <w:rsid w:val="00EB006A"/>
    <w:rsid w:val="00EB4772"/>
    <w:rsid w:val="00ED169E"/>
    <w:rsid w:val="00ED4235"/>
    <w:rsid w:val="00F04346"/>
    <w:rsid w:val="00F075DC"/>
    <w:rsid w:val="00F149E9"/>
    <w:rsid w:val="00F37690"/>
    <w:rsid w:val="00F5134D"/>
    <w:rsid w:val="00F74202"/>
    <w:rsid w:val="00F77F19"/>
    <w:rsid w:val="00F87713"/>
    <w:rsid w:val="00FA0E96"/>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726CF6"/>
  <w15:chartTrackingRefBased/>
  <w15:docId w15:val="{68F04811-AF55-45B9-9DEC-C83DE7FB93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A066B"/>
    <w:pPr>
      <w:spacing w:before="480" w:after="240"/>
    </w:pPr>
  </w:style>
  <w:style w:type="paragraph" w:customStyle="1" w:styleId="NormalHanging12a">
    <w:name w:val="NormalHanging12a"/>
    <w:basedOn w:val="Normal"/>
    <w:link w:val="NormalHanging12aChar"/>
    <w:rsid w:val="00CA066B"/>
    <w:pPr>
      <w:spacing w:after="240"/>
      <w:ind w:left="567" w:hanging="567"/>
    </w:pPr>
  </w:style>
  <w:style w:type="character" w:styleId="Hyperlink">
    <w:name w:val="Hyperlink"/>
    <w:basedOn w:val="DefaultParagraphFont"/>
    <w:uiPriority w:val="99"/>
    <w:rsid w:val="00CA066B"/>
    <w:rPr>
      <w:color w:val="0563C1" w:themeColor="hyperlink"/>
      <w:u w:val="single"/>
    </w:rPr>
  </w:style>
  <w:style w:type="character" w:customStyle="1" w:styleId="NormalHanging12aChar">
    <w:name w:val="NormalHanging12a Char"/>
    <w:basedOn w:val="DefaultParagraphFont"/>
    <w:link w:val="NormalHanging12a"/>
    <w:locked/>
    <w:rsid w:val="00CA066B"/>
    <w:rPr>
      <w:sz w:val="24"/>
      <w:lang w:val="lt-LT"/>
    </w:rPr>
  </w:style>
  <w:style w:type="paragraph" w:styleId="Revision">
    <w:name w:val="Revision"/>
    <w:hidden/>
    <w:uiPriority w:val="99"/>
    <w:semiHidden/>
    <w:rsid w:val="000F5EAB"/>
    <w:rPr>
      <w:sz w:val="24"/>
      <w:lang w:val="lt-LT"/>
    </w:rPr>
  </w:style>
  <w:style w:type="character" w:styleId="FollowedHyperlink">
    <w:name w:val="FollowedHyperlink"/>
    <w:basedOn w:val="DefaultParagraphFont"/>
    <w:rsid w:val="004A50C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0/433/oj" TargetMode="External"/><Relationship Id="rId2" Type="http://schemas.openxmlformats.org/officeDocument/2006/relationships/hyperlink" Target="http://data.europa.eu/eli/budget/2025/31/oj%20" TargetMode="External"/><Relationship Id="rId1" Type="http://schemas.openxmlformats.org/officeDocument/2006/relationships/hyperlink" Target="http://data.europa.eu/eli/reg/2024/2509/oj" TargetMode="External"/><Relationship Id="rId5" Type="http://schemas.openxmlformats.org/officeDocument/2006/relationships/hyperlink" Target="http://data.europa.eu/eli/dec/2020/2053/oj"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1147</Words>
  <Characters>7600</Characters>
  <Application>Microsoft Office Word</Application>
  <DocSecurity>0</DocSecurity>
  <Lines>63</Lines>
  <Paragraphs>17</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TA</vt:lpstr>
      <vt:lpstr>P10_TA(2025)0000</vt:lpstr>
      <vt:lpstr>    Taisomojo biudžeto Nr. 2/2025 projektas – Pajamų (nuosavų išteklių) atnaujinimas</vt:lpstr>
      <vt:lpstr>        2025 m. spalio 8 d. Europos Parlamento teisėkūros rezoliucija dėl Tarybos pozici</vt:lpstr>
      <vt:lpstr>        </vt:lpstr>
    </vt:vector>
  </TitlesOfParts>
  <Company/>
  <LinksUpToDate>false</LinksUpToDate>
  <CharactersWithSpaces>8730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2</cp:revision>
  <cp:lastPrinted>2025-10-03T11:57:00Z</cp:lastPrinted>
  <dcterms:created xsi:type="dcterms:W3CDTF">2025-10-08T11:58:00Z</dcterms:created>
  <dcterms:modified xsi:type="dcterms:W3CDTF">2025-10-08T11:58:00Z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A10-0165/2025</vt:lpwstr>
  </property>
  <property fmtid="{D5CDD505-2E9C-101B-9397-08002B2CF9AE}" pid="4" name="&lt;Type&gt;">
    <vt:lpwstr>RR</vt:lpwstr>
  </property>
</Properties>
</file>