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44968" w14:paraId="3F3368A6" w14:textId="77777777" w:rsidTr="0010095E">
        <w:trPr>
          <w:trHeight w:hRule="exact" w:val="1418"/>
        </w:trPr>
        <w:tc>
          <w:tcPr>
            <w:tcW w:w="6804" w:type="dxa"/>
            <w:shd w:val="clear" w:color="auto" w:fill="auto"/>
            <w:vAlign w:val="center"/>
          </w:tcPr>
          <w:p w14:paraId="6957FE59" w14:textId="2FA6296F" w:rsidR="00751A4A" w:rsidRPr="00444968" w:rsidRDefault="00214B30" w:rsidP="0010095E">
            <w:pPr>
              <w:pStyle w:val="EPName"/>
            </w:pPr>
            <w:r w:rsidRPr="00444968">
              <w:t>Eiropas Parlaments</w:t>
            </w:r>
          </w:p>
          <w:p w14:paraId="6FC58468" w14:textId="77777777" w:rsidR="00751A4A" w:rsidRPr="00444968" w:rsidRDefault="005F1B17" w:rsidP="005F1B17">
            <w:pPr>
              <w:pStyle w:val="EPTerm"/>
              <w:rPr>
                <w:rStyle w:val="HideTWBExt"/>
                <w:noProof w:val="0"/>
                <w:vanish w:val="0"/>
                <w:color w:val="auto"/>
              </w:rPr>
            </w:pPr>
            <w:r w:rsidRPr="00444968">
              <w:t>2024</w:t>
            </w:r>
            <w:r w:rsidR="00817416" w:rsidRPr="00444968">
              <w:t>-202</w:t>
            </w:r>
            <w:r w:rsidRPr="00444968">
              <w:t>9</w:t>
            </w:r>
          </w:p>
        </w:tc>
        <w:tc>
          <w:tcPr>
            <w:tcW w:w="2268" w:type="dxa"/>
            <w:shd w:val="clear" w:color="auto" w:fill="auto"/>
          </w:tcPr>
          <w:p w14:paraId="07756F17" w14:textId="77777777" w:rsidR="00751A4A" w:rsidRPr="00444968" w:rsidRDefault="00187494" w:rsidP="0010095E">
            <w:pPr>
              <w:pStyle w:val="EPLogo"/>
            </w:pPr>
            <w:r w:rsidRPr="00444968">
              <w:rPr>
                <w:noProof/>
                <w:lang w:eastAsia="ja-JP"/>
              </w:rPr>
              <w:drawing>
                <wp:inline distT="0" distB="0" distL="0" distR="0" wp14:anchorId="58391B4B" wp14:editId="21D8E5F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24270FC" w14:textId="77777777" w:rsidR="00D058B8" w:rsidRPr="00444968" w:rsidRDefault="00D058B8" w:rsidP="004C5D52">
      <w:pPr>
        <w:pStyle w:val="LineTop"/>
      </w:pPr>
    </w:p>
    <w:p w14:paraId="39F554BB" w14:textId="7DC7A9A6" w:rsidR="00680577" w:rsidRPr="00444968" w:rsidRDefault="00214B30" w:rsidP="00680577">
      <w:pPr>
        <w:pStyle w:val="EPBodyTA1"/>
      </w:pPr>
      <w:r w:rsidRPr="00444968">
        <w:t>PIEŅEMTIE TEKSTI</w:t>
      </w:r>
    </w:p>
    <w:p w14:paraId="13C053F7" w14:textId="77777777" w:rsidR="00D058B8" w:rsidRPr="00444968" w:rsidRDefault="00D058B8" w:rsidP="00D058B8">
      <w:pPr>
        <w:pStyle w:val="LineBottom"/>
      </w:pPr>
    </w:p>
    <w:p w14:paraId="35F97AE8" w14:textId="4E1597ED" w:rsidR="00214B30" w:rsidRPr="00444968" w:rsidRDefault="00214B30" w:rsidP="00214B30">
      <w:pPr>
        <w:pStyle w:val="ATHeading1"/>
      </w:pPr>
      <w:bookmarkStart w:id="0" w:name="TANumber"/>
      <w:r w:rsidRPr="00444968">
        <w:t>P10_TA(2025)0</w:t>
      </w:r>
      <w:bookmarkEnd w:id="0"/>
      <w:r w:rsidR="00444968" w:rsidRPr="00444968">
        <w:t>218</w:t>
      </w:r>
    </w:p>
    <w:p w14:paraId="70504594" w14:textId="16CF05ED" w:rsidR="00214B30" w:rsidRPr="00444968" w:rsidRDefault="00B058D8" w:rsidP="00214B30">
      <w:pPr>
        <w:pStyle w:val="ATHeading2"/>
      </w:pPr>
      <w:bookmarkStart w:id="1" w:name="title"/>
      <w:r w:rsidRPr="00444968">
        <w:t>B</w:t>
      </w:r>
      <w:r w:rsidR="00214B30" w:rsidRPr="00444968">
        <w:t xml:space="preserve">udžeta grozījuma Nr. </w:t>
      </w:r>
      <w:r w:rsidRPr="00444968">
        <w:t xml:space="preserve">2/2025 </w:t>
      </w:r>
      <w:r w:rsidR="00214B30" w:rsidRPr="00444968">
        <w:t>projekts: ieņēmumu (pašu resursu) atjauninājums un</w:t>
      </w:r>
      <w:r w:rsidRPr="00444968">
        <w:t xml:space="preserve"> </w:t>
      </w:r>
      <w:r w:rsidR="00214B30" w:rsidRPr="00444968">
        <w:t>izdevumu korekcijas</w:t>
      </w:r>
      <w:bookmarkEnd w:id="1"/>
    </w:p>
    <w:p w14:paraId="63F68760" w14:textId="77777777" w:rsidR="00214B30" w:rsidRPr="00444968" w:rsidRDefault="00214B30" w:rsidP="00214B30">
      <w:pPr>
        <w:rPr>
          <w:i/>
          <w:vanish/>
        </w:rPr>
      </w:pPr>
      <w:r w:rsidRPr="00444968">
        <w:rPr>
          <w:i/>
        </w:rPr>
        <w:fldChar w:fldCharType="begin"/>
      </w:r>
      <w:r w:rsidRPr="00444968">
        <w:rPr>
          <w:i/>
        </w:rPr>
        <w:instrText xml:space="preserve"> TC"(</w:instrText>
      </w:r>
      <w:bookmarkStart w:id="2" w:name="DocNumber"/>
      <w:r w:rsidRPr="00444968">
        <w:rPr>
          <w:i/>
        </w:rPr>
        <w:instrText>A10-0165/2025</w:instrText>
      </w:r>
      <w:bookmarkEnd w:id="2"/>
      <w:r w:rsidRPr="00444968">
        <w:rPr>
          <w:i/>
        </w:rPr>
        <w:instrText xml:space="preserve"> - Referents: </w:instrText>
      </w:r>
      <w:proofErr w:type="spellStart"/>
      <w:r w:rsidRPr="00444968">
        <w:rPr>
          <w:i/>
        </w:rPr>
        <w:instrText>Victor</w:instrText>
      </w:r>
      <w:proofErr w:type="spellEnd"/>
      <w:r w:rsidRPr="00444968">
        <w:rPr>
          <w:i/>
        </w:rPr>
        <w:instrText xml:space="preserve"> </w:instrText>
      </w:r>
      <w:proofErr w:type="spellStart"/>
      <w:r w:rsidRPr="00444968">
        <w:rPr>
          <w:i/>
        </w:rPr>
        <w:instrText>Negrescu</w:instrText>
      </w:r>
      <w:proofErr w:type="spellEnd"/>
      <w:r w:rsidRPr="00444968">
        <w:rPr>
          <w:i/>
        </w:rPr>
        <w:instrText xml:space="preserve">)"\l3 \n&gt; \* MERGEFORMAT </w:instrText>
      </w:r>
      <w:r w:rsidRPr="00444968">
        <w:rPr>
          <w:i/>
        </w:rPr>
        <w:fldChar w:fldCharType="end"/>
      </w:r>
    </w:p>
    <w:p w14:paraId="7D958CAA" w14:textId="77777777" w:rsidR="00214B30" w:rsidRPr="00444968" w:rsidRDefault="00214B30" w:rsidP="00214B30">
      <w:pPr>
        <w:rPr>
          <w:vanish/>
        </w:rPr>
      </w:pPr>
      <w:bookmarkStart w:id="3" w:name="Commission"/>
      <w:r w:rsidRPr="00444968">
        <w:rPr>
          <w:vanish/>
        </w:rPr>
        <w:t>Budžeta komiteja</w:t>
      </w:r>
      <w:bookmarkEnd w:id="3"/>
    </w:p>
    <w:p w14:paraId="1CEB5A77" w14:textId="77777777" w:rsidR="00214B30" w:rsidRPr="00444968" w:rsidRDefault="00214B30" w:rsidP="00214B30">
      <w:pPr>
        <w:rPr>
          <w:vanish/>
        </w:rPr>
      </w:pPr>
      <w:bookmarkStart w:id="4" w:name="PE"/>
      <w:r w:rsidRPr="00444968">
        <w:rPr>
          <w:vanish/>
        </w:rPr>
        <w:t>PE776.838</w:t>
      </w:r>
      <w:bookmarkEnd w:id="4"/>
    </w:p>
    <w:p w14:paraId="4B0A0BEE" w14:textId="6268AE0F" w:rsidR="004E1E32" w:rsidRPr="00444968" w:rsidRDefault="00214B30" w:rsidP="00B058D8">
      <w:pPr>
        <w:pStyle w:val="ATHeading3"/>
      </w:pPr>
      <w:bookmarkStart w:id="5" w:name="Sujet"/>
      <w:r w:rsidRPr="00444968">
        <w:t xml:space="preserve">Eiropas Parlamenta 2025. gada </w:t>
      </w:r>
      <w:r w:rsidR="00B058D8" w:rsidRPr="00444968">
        <w:t>8</w:t>
      </w:r>
      <w:r w:rsidRPr="00444968">
        <w:t xml:space="preserve">. </w:t>
      </w:r>
      <w:r w:rsidR="00B058D8" w:rsidRPr="00444968">
        <w:t>oktobra</w:t>
      </w:r>
      <w:r w:rsidRPr="00444968">
        <w:t xml:space="preserve"> rezolūcija par Padomes nostāju attiecībā uz Eiropas Savienības 2025. finanšu gada budžeta grozījuma Nr. 2/2025 projektu: ieņēmumu (pašu resursu) atjauninājums un izdevumu korekcijas</w:t>
      </w:r>
      <w:bookmarkEnd w:id="5"/>
      <w:r w:rsidRPr="00444968">
        <w:t xml:space="preserve"> </w:t>
      </w:r>
      <w:bookmarkStart w:id="6" w:name="References"/>
      <w:r w:rsidRPr="00444968">
        <w:t>(12353/2025 – C10-0209/2025 – 2025/0206(BUD))</w:t>
      </w:r>
      <w:bookmarkStart w:id="7" w:name="TextBodyBegin"/>
      <w:bookmarkEnd w:id="6"/>
      <w:bookmarkEnd w:id="7"/>
    </w:p>
    <w:p w14:paraId="5B7875E3" w14:textId="77777777" w:rsidR="004E1E32" w:rsidRPr="00444968" w:rsidRDefault="004E1E32" w:rsidP="004E1E32">
      <w:pPr>
        <w:pStyle w:val="EPComma"/>
      </w:pPr>
      <w:r w:rsidRPr="00444968">
        <w:rPr>
          <w:i/>
        </w:rPr>
        <w:t>Eiropas Parlaments</w:t>
      </w:r>
      <w:r w:rsidRPr="00444968">
        <w:t>,</w:t>
      </w:r>
    </w:p>
    <w:p w14:paraId="374F69CB" w14:textId="77777777" w:rsidR="004E1E32" w:rsidRPr="00444968" w:rsidRDefault="004E1E32" w:rsidP="004E1E32">
      <w:pPr>
        <w:pStyle w:val="NormalHanging12a"/>
      </w:pPr>
      <w:r w:rsidRPr="00444968">
        <w:t>–</w:t>
      </w:r>
      <w:r w:rsidRPr="00444968">
        <w:tab/>
        <w:t>ņemot vērā Līguma par Eiropas Savienības darbību 314. pantu,</w:t>
      </w:r>
    </w:p>
    <w:p w14:paraId="7C9A72E6" w14:textId="77777777" w:rsidR="004E1E32" w:rsidRPr="00444968" w:rsidRDefault="004E1E32" w:rsidP="004E1E32">
      <w:pPr>
        <w:pStyle w:val="NormalHanging12a"/>
      </w:pPr>
      <w:r w:rsidRPr="00444968">
        <w:t>–</w:t>
      </w:r>
      <w:r w:rsidRPr="00444968">
        <w:tab/>
        <w:t>ņemot vērā Eiropas Atomenerģijas kopienas dibināšanas līguma 106.a pantu,</w:t>
      </w:r>
    </w:p>
    <w:p w14:paraId="4C36DFCF" w14:textId="77777777" w:rsidR="004E1E32" w:rsidRPr="00444968" w:rsidRDefault="004E1E32" w:rsidP="004E1E32">
      <w:pPr>
        <w:pStyle w:val="NormalHanging12a"/>
      </w:pPr>
      <w:r w:rsidRPr="00444968">
        <w:t>–</w:t>
      </w:r>
      <w:r w:rsidRPr="00444968">
        <w:tab/>
        <w:t xml:space="preserve">ņemot vērā Eiropas Parlamenta un Padomes 2024. gada 23. septembra Regulu (ES, </w:t>
      </w:r>
      <w:r w:rsidRPr="00444968">
        <w:rPr>
          <w:i/>
        </w:rPr>
        <w:t>Euratom</w:t>
      </w:r>
      <w:r w:rsidRPr="00444968">
        <w:t>) 2024/2509 par finanšu noteikumiem, ko piemēro Savienības vispārējam budžetam</w:t>
      </w:r>
      <w:r w:rsidRPr="00444968">
        <w:rPr>
          <w:rStyle w:val="FootnoteReference"/>
        </w:rPr>
        <w:footnoteReference w:id="1"/>
      </w:r>
      <w:r w:rsidRPr="00444968">
        <w:t>, un jo īpaši tās 44. pantu,</w:t>
      </w:r>
    </w:p>
    <w:p w14:paraId="7034E495" w14:textId="77777777" w:rsidR="004E1E32" w:rsidRPr="00444968" w:rsidRDefault="004E1E32" w:rsidP="004E1E32">
      <w:pPr>
        <w:pStyle w:val="NormalHanging12a"/>
      </w:pPr>
      <w:r w:rsidRPr="00444968">
        <w:t>–</w:t>
      </w:r>
      <w:r w:rsidRPr="00444968">
        <w:tab/>
        <w:t>ņemot vērā Eiropas Savienības 2025. finanšu gada vispārējo budžetu, ko galīgajā variantā pieņēma 2024. gada 27. novembrī</w:t>
      </w:r>
      <w:r w:rsidRPr="00444968">
        <w:rPr>
          <w:rStyle w:val="FootnoteReference"/>
        </w:rPr>
        <w:footnoteReference w:id="2"/>
      </w:r>
      <w:r w:rsidRPr="00444968">
        <w:t>,</w:t>
      </w:r>
    </w:p>
    <w:p w14:paraId="383226E9" w14:textId="77777777" w:rsidR="004E1E32" w:rsidRPr="00444968" w:rsidRDefault="004E1E32" w:rsidP="004E1E32">
      <w:pPr>
        <w:pStyle w:val="NormalHanging12a"/>
      </w:pPr>
      <w:r w:rsidRPr="00444968">
        <w:t>–</w:t>
      </w:r>
      <w:r w:rsidRPr="00444968">
        <w:tab/>
        <w:t xml:space="preserve">ņemot vērā Padomes 2020. gada 17. decembra Regulu (ES, </w:t>
      </w:r>
      <w:r w:rsidRPr="00444968">
        <w:rPr>
          <w:i/>
        </w:rPr>
        <w:t>Euratom</w:t>
      </w:r>
      <w:r w:rsidRPr="00444968">
        <w:t>) 2020/2093, ar ko nosaka daudzgadu finanšu shēmu 2021.–2027. gadam</w:t>
      </w:r>
      <w:r w:rsidRPr="00444968">
        <w:rPr>
          <w:rStyle w:val="FootnoteReference"/>
        </w:rPr>
        <w:footnoteReference w:id="3"/>
      </w:r>
      <w:r w:rsidRPr="00444968">
        <w:t>,</w:t>
      </w:r>
    </w:p>
    <w:p w14:paraId="770B7901" w14:textId="77777777" w:rsidR="004E1E32" w:rsidRPr="00444968" w:rsidRDefault="004E1E32" w:rsidP="004E1E32">
      <w:pPr>
        <w:pStyle w:val="NormalHanging12a"/>
      </w:pPr>
      <w:r w:rsidRPr="00444968">
        <w:t>–</w:t>
      </w:r>
      <w:r w:rsidRPr="00444968">
        <w:tab/>
        <w:t>ņemot vērā 2020. gada 16. decembra Iestāžu nolīgumu starp Eiropas Parlamentu, Padomi un Komisiju par budžeta disciplīnu, sadarbību budžeta jautājumos un pareizu finanšu pārvaldību, kā arī par jauniem pašu resursiem, tostarp par ceļvedi jaunu pašu resursu ieviešanai</w:t>
      </w:r>
      <w:r w:rsidRPr="00444968">
        <w:rPr>
          <w:rStyle w:val="FootnoteReference"/>
        </w:rPr>
        <w:footnoteReference w:id="4"/>
      </w:r>
      <w:r w:rsidRPr="00444968">
        <w:t>,</w:t>
      </w:r>
    </w:p>
    <w:p w14:paraId="0E2E1CB1" w14:textId="77777777" w:rsidR="004E1E32" w:rsidRPr="00444968" w:rsidRDefault="004E1E32" w:rsidP="004E1E32">
      <w:pPr>
        <w:pStyle w:val="NormalHanging12a"/>
      </w:pPr>
      <w:r w:rsidRPr="00444968">
        <w:t>–</w:t>
      </w:r>
      <w:r w:rsidRPr="00444968">
        <w:tab/>
        <w:t xml:space="preserve">ņemot vērā Padomes 2020. gada 14. decembra Lēmumu (ES, </w:t>
      </w:r>
      <w:r w:rsidRPr="00444968">
        <w:rPr>
          <w:i/>
        </w:rPr>
        <w:t>Euratom</w:t>
      </w:r>
      <w:r w:rsidRPr="00444968">
        <w:t xml:space="preserve">) 2020/2053 par Eiropas Savienības pašu resursu sistēmu un ar ko atceļ Lēmumu 2014/335/ES, </w:t>
      </w:r>
      <w:r w:rsidRPr="00444968">
        <w:rPr>
          <w:i/>
        </w:rPr>
        <w:lastRenderedPageBreak/>
        <w:t>Euratom</w:t>
      </w:r>
      <w:r w:rsidRPr="00444968">
        <w:rPr>
          <w:rStyle w:val="FootnoteReference"/>
        </w:rPr>
        <w:footnoteReference w:id="5"/>
      </w:r>
      <w:r w:rsidRPr="00444968">
        <w:t>,</w:t>
      </w:r>
    </w:p>
    <w:p w14:paraId="1A0F798F" w14:textId="77777777" w:rsidR="004E1E32" w:rsidRPr="00444968" w:rsidRDefault="004E1E32" w:rsidP="004E1E32">
      <w:pPr>
        <w:pStyle w:val="NormalHanging12a"/>
      </w:pPr>
      <w:r w:rsidRPr="00444968">
        <w:t>–</w:t>
      </w:r>
      <w:r w:rsidRPr="00444968">
        <w:tab/>
        <w:t>ņemot vērā budžeta grozījuma Nr. 2/2025 projektu, ko Komisija pieņēma 2025. gada 4. jūlijā (COM(2025)0410),</w:t>
      </w:r>
    </w:p>
    <w:p w14:paraId="5EB732D2" w14:textId="77777777" w:rsidR="004E1E32" w:rsidRPr="00444968" w:rsidRDefault="004E1E32" w:rsidP="004E1E32">
      <w:pPr>
        <w:pStyle w:val="NormalHanging12a"/>
      </w:pPr>
      <w:r w:rsidRPr="00444968">
        <w:t>–</w:t>
      </w:r>
      <w:r w:rsidRPr="00444968">
        <w:tab/>
        <w:t>ņemot vērā nostāju attiecībā uz budžeta grozījuma Nr. 2/2025 projektu, ko Padome pieņēma 2025. gada 16. septembrī un nosūtīja Eiropas Parlamentam 2025. gada 17. septembrī (12353/2025 – C10</w:t>
      </w:r>
      <w:r w:rsidRPr="00444968">
        <w:noBreakHyphen/>
        <w:t>0209/2025),</w:t>
      </w:r>
    </w:p>
    <w:p w14:paraId="35259442" w14:textId="77777777" w:rsidR="004E1E32" w:rsidRPr="00444968" w:rsidRDefault="004E1E32" w:rsidP="004E1E32">
      <w:pPr>
        <w:pStyle w:val="NormalHanging12a"/>
      </w:pPr>
      <w:r w:rsidRPr="00444968">
        <w:t>–</w:t>
      </w:r>
      <w:r w:rsidRPr="00444968">
        <w:tab/>
        <w:t>ņemot vērā Reglamenta 96. un 98. pantu,</w:t>
      </w:r>
    </w:p>
    <w:p w14:paraId="7DB56604" w14:textId="77777777" w:rsidR="004E1E32" w:rsidRPr="00444968" w:rsidRDefault="004E1E32" w:rsidP="004E1E32">
      <w:pPr>
        <w:pStyle w:val="NormalHanging12a"/>
      </w:pPr>
      <w:r w:rsidRPr="00444968">
        <w:t>–</w:t>
      </w:r>
      <w:r w:rsidRPr="00444968">
        <w:tab/>
        <w:t>ņemot vērā Budžeta komitejas ziņojumu (A10‑0165/2025),</w:t>
      </w:r>
    </w:p>
    <w:p w14:paraId="33179094" w14:textId="77777777" w:rsidR="004E1E32" w:rsidRPr="00444968" w:rsidRDefault="004E1E32" w:rsidP="004E1E32">
      <w:pPr>
        <w:pStyle w:val="NormalHanging12a"/>
      </w:pPr>
      <w:r w:rsidRPr="00444968">
        <w:t>A.</w:t>
      </w:r>
      <w:r w:rsidRPr="00444968">
        <w:tab/>
        <w:t>tā kā budžeta grozījuma Nr. 2/2025 projekta mērķis ir atjaunināt budžeta ieņēmumu daļu, lai ņemtu vērā jaunākās norises, kā arī koriģēt budžeta izdevumu daļu attiecībā uz vairākiem izdevumu posteņiem;</w:t>
      </w:r>
    </w:p>
    <w:p w14:paraId="2A12519D" w14:textId="77777777" w:rsidR="004E1E32" w:rsidRPr="00444968" w:rsidRDefault="004E1E32" w:rsidP="004E1E32">
      <w:pPr>
        <w:pStyle w:val="NormalHanging12a"/>
      </w:pPr>
      <w:r w:rsidRPr="00444968">
        <w:t>B.</w:t>
      </w:r>
      <w:r w:rsidRPr="00444968">
        <w:tab/>
        <w:t xml:space="preserve">tā kā budžeta grozījuma Nr. 2/2025 projekts paredz pārskatīt pašu resursu prognozes attiecībā uz muitas nodokļiem, kuru summa ir par 1 % mazāka nekā 2024. gada maija prognozē, nepārsniedzamo PVN bāzi, kura ir par 2,4 % mazāka nekā 2024. gada maija prognozē, </w:t>
      </w:r>
      <w:proofErr w:type="spellStart"/>
      <w:r w:rsidRPr="00444968">
        <w:t>nereciklētu</w:t>
      </w:r>
      <w:proofErr w:type="spellEnd"/>
      <w:r w:rsidRPr="00444968">
        <w:t xml:space="preserve"> plastmasas iepakojuma atkritumu apjomu, kas ir par 3,5 % mazāks nekā 2024. gada maija prognozē, un kopējo ES NKI bāzi, kura ir par 0,5 % lielāka nekā 2024. gada maija prognozē;</w:t>
      </w:r>
    </w:p>
    <w:p w14:paraId="1BD1B154" w14:textId="77777777" w:rsidR="004E1E32" w:rsidRPr="00444968" w:rsidRDefault="004E1E32" w:rsidP="004E1E32">
      <w:pPr>
        <w:pStyle w:val="NormalHanging12a"/>
      </w:pPr>
      <w:r w:rsidRPr="00444968">
        <w:t>C.</w:t>
      </w:r>
      <w:r w:rsidRPr="00444968">
        <w:tab/>
        <w:t>tā kā budžeta grozījuma Nr. 2/2025 projekts arī atjaunina Apvienotās Karalistes 2025. gada iemaksu saskaņā ar izstāšanās līgumu, nosakot to 1,53 miljardu EUR apmērā, kas ir neliels samazinājums par 25 miljoniem EUR salīdzinājumā ar 2025. gada budžetā iekļauto aplēsi;</w:t>
      </w:r>
    </w:p>
    <w:p w14:paraId="568CAD52" w14:textId="77777777" w:rsidR="004E1E32" w:rsidRPr="00444968" w:rsidRDefault="004E1E32" w:rsidP="004E1E32">
      <w:pPr>
        <w:pStyle w:val="NormalHanging12a"/>
      </w:pPr>
      <w:r w:rsidRPr="00444968">
        <w:t>D.</w:t>
      </w:r>
      <w:r w:rsidRPr="00444968">
        <w:tab/>
        <w:t>tā kā budžeta grozījuma Nr. 2/2025 projektā ir ņemti vērā arī līdz 2025. gada maija beigām iekasētie naudas sodi, soda maksājumi un negatīvie ieņēmumi, kuri sākotnējo prognozi par ieņēmumiem no naudas sodiem un soda maksājumiem 2025. gada budžetā palielina par 291 miljonu EUR;</w:t>
      </w:r>
    </w:p>
    <w:p w14:paraId="6DE1F967" w14:textId="77777777" w:rsidR="004E1E32" w:rsidRPr="00444968" w:rsidRDefault="004E1E32" w:rsidP="004E1E32">
      <w:pPr>
        <w:pStyle w:val="NormalHanging12a"/>
      </w:pPr>
      <w:r w:rsidRPr="00444968">
        <w:t>E.</w:t>
      </w:r>
      <w:r w:rsidRPr="00444968">
        <w:tab/>
        <w:t>tā kā attiecībā uz izdevumiem budžeta grozījuma Nr. 2/2025 projektā ir ierosināts veikt vairākus atjauninājumus attiecībā uz saistību un maksājumu apropriācijām, jo īpaši palielinot Eiropas Lauksaimniecības fonda lauku attīstībai maksājumu apropriācijas par 3,5 miljardiem EUR,</w:t>
      </w:r>
    </w:p>
    <w:p w14:paraId="1129E3B9" w14:textId="77777777" w:rsidR="004E1E32" w:rsidRPr="00444968" w:rsidRDefault="004E1E32" w:rsidP="004E1E32">
      <w:pPr>
        <w:pStyle w:val="NormalHanging12a"/>
      </w:pPr>
      <w:r w:rsidRPr="00444968">
        <w:t>1.</w:t>
      </w:r>
      <w:r w:rsidRPr="00444968">
        <w:tab/>
        <w:t>pieņem zināšanai Komisijas iesniegto budžeta grozījuma Nr. 2/2025 projektu;</w:t>
      </w:r>
    </w:p>
    <w:p w14:paraId="0F11FB10" w14:textId="77777777" w:rsidR="004E1E32" w:rsidRPr="00444968" w:rsidRDefault="004E1E32" w:rsidP="004E1E32">
      <w:pPr>
        <w:pStyle w:val="NormalHanging12a"/>
      </w:pPr>
      <w:r w:rsidRPr="00444968">
        <w:t>2.</w:t>
      </w:r>
      <w:r w:rsidRPr="00444968">
        <w:tab/>
        <w:t>pieņem zināšanai, ka pašu resursu, kas nav NKI, apjoma samazinājums un papildu maksājumu vajadzības izdevumu daļā kopumā palielina vajadzību pēc NKI iemaksām 4,3 miljardu EUR apmērā; atzīst, ka tas nozīmē grozīt vienoto NKI piesaistīšanas likmi no 0,527 % (BG Nr. 1/2025 projektā) uz 0,547 % (BG Nr. 2/2025 projektā);</w:t>
      </w:r>
    </w:p>
    <w:p w14:paraId="3FD959E6" w14:textId="11E091C6" w:rsidR="004E1E32" w:rsidRPr="00444968" w:rsidRDefault="004E1E32" w:rsidP="004E1E32">
      <w:pPr>
        <w:pStyle w:val="NormalHanging12a"/>
      </w:pPr>
      <w:r w:rsidRPr="00444968">
        <w:t>3.</w:t>
      </w:r>
      <w:r w:rsidRPr="00444968">
        <w:tab/>
        <w:t xml:space="preserve">uzsver, ka saskaņā ar budžeta grozījuma Nr. 2/2025 projektu NKI fiksētas summas korekcijas piecām saņēmējām dalībvalstīm ir aptuveni 9,2 miljardi EUR (bruto izteiksmē); uzsver, ka šīs atlaides ir saistītas ar inflāciju un tāpēc ir palielinājušās lielākā tempā nekā </w:t>
      </w:r>
      <w:r w:rsidR="00B058D8" w:rsidRPr="00444968">
        <w:t>daudzgadu finanšu shēmas (DFS)</w:t>
      </w:r>
      <w:r w:rsidRPr="00444968">
        <w:t xml:space="preserve"> maksimālie apjomi, kas katru gadu tiek </w:t>
      </w:r>
      <w:r w:rsidRPr="00444968">
        <w:lastRenderedPageBreak/>
        <w:t xml:space="preserve">koriģēti, pamatojoties uz 2 % </w:t>
      </w:r>
      <w:proofErr w:type="spellStart"/>
      <w:r w:rsidRPr="00444968">
        <w:t>deflatoru</w:t>
      </w:r>
      <w:proofErr w:type="spellEnd"/>
      <w:r w:rsidRPr="00444968">
        <w:t>; uzsver, ka dažos pēdējos gados Savienības budžets ir ticis ievērojami noslogots, lai reaģētu uz dažādām krīzēm; uzsver, ka šī ar atlaidēm saistītā anomālija palielina slogu pārējām dalībvalstīm;</w:t>
      </w:r>
    </w:p>
    <w:p w14:paraId="105A922B" w14:textId="77777777" w:rsidR="004E1E32" w:rsidRPr="00444968" w:rsidRDefault="004E1E32" w:rsidP="004E1E32">
      <w:pPr>
        <w:pStyle w:val="NormalHanging12a"/>
      </w:pPr>
      <w:r w:rsidRPr="00444968">
        <w:t>4.</w:t>
      </w:r>
      <w:r w:rsidRPr="00444968">
        <w:tab/>
        <w:t>atzinīgi vērtē Komisijas jaunos centienus piedāvāt vairāk risinājumu attiecībā uz jauniem Savienības budžeta ieņēmumu avotiem; šajā sakarībā ņem vērā Komisijas 2025. gada 16. jūlija priekšlikumu Padomes lēmumam par Eiropas Savienības pašu resursu sistēmu; uzskata, ka ir ātri jāpieņem jauni pašu resursi, lai palielinātu budžetam pieejamos resursus; uzsver, ka jauniem pašu resursiem ir jābūt taisnīgiem un tie ir būtiski ne tikai tāpēc, lai būtu iespējams atmaksāt “</w:t>
      </w:r>
      <w:proofErr w:type="spellStart"/>
      <w:r w:rsidRPr="00444968">
        <w:t>Next</w:t>
      </w:r>
      <w:proofErr w:type="spellEnd"/>
      <w:r w:rsidRPr="00444968">
        <w:t xml:space="preserve"> </w:t>
      </w:r>
      <w:proofErr w:type="spellStart"/>
      <w:r w:rsidRPr="00444968">
        <w:t>Generation</w:t>
      </w:r>
      <w:proofErr w:type="spellEnd"/>
      <w:r w:rsidRPr="00444968">
        <w:t xml:space="preserve"> EU” aizņēmumus, bet arī tāpēc, lai nodrošinātu Savienības spēju segt savas izdevumu vajadzības, kas ir pieaugušas; šajā sakarībā atgādina savu jau izsenis pausto nostāju, ka neparedzēti ieņēmumi, kas izriet no naudas sodiem un soda maksājumiem vai tiem līdzvērtīgām summām, būtu jāizmanto kā Savienības budžeta papildu ieņēmumi reaģēšanai krīzes situācijās vai neparedzētām vajadzībām un tiem nevajadzētu izraisīt attiecīgu uz NKI balstīto iemaksu samazinājumu; uzsver, ka pašreizējā DFS šādas summas tiek “atdotas atpakaļ” dalībvalstīm;</w:t>
      </w:r>
    </w:p>
    <w:p w14:paraId="7DA62547" w14:textId="77777777" w:rsidR="004E1E32" w:rsidRPr="00444968" w:rsidRDefault="004E1E32" w:rsidP="004E1E32">
      <w:pPr>
        <w:pStyle w:val="NormalHanging12a"/>
      </w:pPr>
      <w:r w:rsidRPr="00444968">
        <w:t>5.</w:t>
      </w:r>
      <w:r w:rsidRPr="00444968">
        <w:tab/>
        <w:t xml:space="preserve">uzsver, ka pieredze, kas gūta no nesenajām krīzēm — pandēmijām, enerģētikas jomas satricinājumiem un kara Ukrainā —, liek nopietni pārdomāt nākamajā DFS paredzamo elastību; atkārtoti pauž nostāju, ka turpmākais elastības instruments būtu jāpapildina ar vairākiem papildu finansējuma avotiem, tostarp iepriekšējā gada pārpalikumu, naudas sodiem un atmaksājumiem; pieņem zināšanai attiecīgos noteikumus DFS regulas priekšlikumā, kurā Komisija ierosina elastības instrumentam pievienot konkrētas summas saskaņā ar Parlamenta izsenis paustajām prasībām; tomēr atgādina, ka elastību nevajadzētu nodrošināt uz </w:t>
      </w:r>
      <w:proofErr w:type="spellStart"/>
      <w:r w:rsidRPr="00444968">
        <w:t>pārredzamības</w:t>
      </w:r>
      <w:proofErr w:type="spellEnd"/>
      <w:r w:rsidRPr="00444968">
        <w:t xml:space="preserve"> rēķina;</w:t>
      </w:r>
    </w:p>
    <w:p w14:paraId="69F114B1" w14:textId="77777777" w:rsidR="004E1E32" w:rsidRPr="00444968" w:rsidRDefault="004E1E32" w:rsidP="004E1E32">
      <w:pPr>
        <w:pStyle w:val="NormalHanging12a"/>
      </w:pPr>
      <w:r w:rsidRPr="00444968">
        <w:t>6.</w:t>
      </w:r>
      <w:r w:rsidRPr="00444968">
        <w:tab/>
        <w:t>atzinīgi vērtē Lauksaimniecības fonda lauku attīstībai maksājumu apropriāciju augšupējās korekcijas, kas liecina, ka 2023.–2027. gada KLP stratēģisko plānu, kā arī 2014.–2020. gada programmu intervenču īstenošana paātrinās un tādējādi kompensē kavējumus iepriekšējos budžeta gados;</w:t>
      </w:r>
    </w:p>
    <w:p w14:paraId="60B3CCE6" w14:textId="77777777" w:rsidR="004E1E32" w:rsidRPr="00444968" w:rsidRDefault="004E1E32" w:rsidP="004E1E32">
      <w:pPr>
        <w:pStyle w:val="NormalHanging12a"/>
      </w:pPr>
      <w:r w:rsidRPr="00444968">
        <w:t>7.</w:t>
      </w:r>
      <w:r w:rsidRPr="00444968">
        <w:tab/>
        <w:t xml:space="preserve">atzinīgi vērtē notiekošos uzlabojumus oglekļa </w:t>
      </w:r>
      <w:proofErr w:type="spellStart"/>
      <w:r w:rsidRPr="00444968">
        <w:t>ievedkorekcijas</w:t>
      </w:r>
      <w:proofErr w:type="spellEnd"/>
      <w:r w:rsidRPr="00444968">
        <w:t xml:space="preserve"> mehānisma (OIM) jomā, taču pauž neizpratni par to, kāpēc, vienkāršojot OIM regulu, būtu jāpalielina vajadzības par 8 miljoniem EUR, nevis tās jāsamazina saistībā ar efektivitātes palielināšanos;</w:t>
      </w:r>
    </w:p>
    <w:p w14:paraId="6CC88465" w14:textId="77777777" w:rsidR="004E1E32" w:rsidRPr="00444968" w:rsidRDefault="004E1E32" w:rsidP="004E1E32">
      <w:pPr>
        <w:pStyle w:val="NormalHanging12a"/>
      </w:pPr>
      <w:r w:rsidRPr="00444968">
        <w:t>8.</w:t>
      </w:r>
      <w:r w:rsidRPr="00444968">
        <w:tab/>
        <w:t>turklāt uzskata, ka ir apšaubāmi kompensēt papildu vajadzības centralizētajai muitas sistēmai 1. izdevumu kategorijā un OIM 3. izdevumu kategorijā, proporcionāli samazinot piešķīrumus no Muitas kontroles iekārtu instrumenta 4. izdevumu kategorijā; pauž nožēlu par to, ka pašreizējā budžeta situācijā Komisijai ir nācies pārdalīt ievērojamus līdzekļus visās izdevumu kategorijās, un atgādina par savu izsenis pausto nostāju, ka jaunām politikas prioritātēm, uzdevumiem vai vajadzībām būtu jāparedz jauni līdzekļi; stingri uzsver, ka atkārtota pārdale nav dzīvotspējīgs risinājums Savienības prioritāšu finansēšanai, jo tā kaitē investīcijām un apdraud saskaņoto politikas mērķu sasniegšanu;</w:t>
      </w:r>
    </w:p>
    <w:p w14:paraId="638C05A9" w14:textId="77777777" w:rsidR="004E1E32" w:rsidRPr="00444968" w:rsidRDefault="004E1E32" w:rsidP="004E1E32">
      <w:pPr>
        <w:pStyle w:val="NormalHanging12a"/>
      </w:pPr>
      <w:r w:rsidRPr="00444968">
        <w:t>9.</w:t>
      </w:r>
      <w:r w:rsidRPr="00444968">
        <w:tab/>
        <w:t>uzsver un atzinīgi vērtē to, ka dažas izmaiņas ES Iestādes nelikumīgi iegūtu līdzekļu legalizēšanas novēršanai štatu sarakstā dod tai iespēju savus uzdevumus veikt savlaicīgi un efektīvi; atgādina, ka šai svarīgajai iestādei ir būtiska nozīme nodokļu maksātāju naudas aizsardzībā un ka to ir stingri atbalstījis Eiropas Parlaments;</w:t>
      </w:r>
    </w:p>
    <w:p w14:paraId="0DC1FEB0" w14:textId="77777777" w:rsidR="004E1E32" w:rsidRPr="00444968" w:rsidRDefault="004E1E32" w:rsidP="004E1E32">
      <w:pPr>
        <w:pStyle w:val="NormalHanging12a"/>
      </w:pPr>
      <w:r w:rsidRPr="00444968">
        <w:lastRenderedPageBreak/>
        <w:t>10.</w:t>
      </w:r>
      <w:r w:rsidRPr="00444968">
        <w:tab/>
        <w:t xml:space="preserve">atzinīgi vērtē Bulgārijas progresu virzībā uz </w:t>
      </w:r>
      <w:proofErr w:type="spellStart"/>
      <w:r w:rsidRPr="00444968">
        <w:t>euro</w:t>
      </w:r>
      <w:proofErr w:type="spellEnd"/>
      <w:r w:rsidRPr="00444968">
        <w:t xml:space="preserve"> ieviešanu un pilnībā atbalsta papildu līdzekļus, lai valūtas maiņu varētu papildināt ar piemērotiem un mērķtiecīgiem komunikācijas pasākumiem; atzīst — tā kā 2.b izdevumu kategorijā nav nepiešķirtu līdzekļu rezerves, šim nolūkam ir jāizmanto elastības instruments;</w:t>
      </w:r>
    </w:p>
    <w:p w14:paraId="665454B1" w14:textId="77777777" w:rsidR="004E1E32" w:rsidRPr="00444968" w:rsidRDefault="004E1E32" w:rsidP="004E1E32">
      <w:pPr>
        <w:pStyle w:val="NormalHanging12a"/>
      </w:pPr>
      <w:r w:rsidRPr="00444968">
        <w:t>11.</w:t>
      </w:r>
      <w:r w:rsidRPr="00444968">
        <w:tab/>
        <w:t>apstiprina Padomes nostāju attiecībā uz budžeta grozījuma Nr. 2/2025 projektu;</w:t>
      </w:r>
    </w:p>
    <w:p w14:paraId="4C41F154" w14:textId="77777777" w:rsidR="004E1E32" w:rsidRPr="00444968" w:rsidRDefault="004E1E32" w:rsidP="004E1E32">
      <w:pPr>
        <w:pStyle w:val="NormalHanging12a"/>
      </w:pPr>
      <w:r w:rsidRPr="00444968">
        <w:t>12.</w:t>
      </w:r>
      <w:r w:rsidRPr="00444968">
        <w:tab/>
        <w:t xml:space="preserve">uzdod priekšsēdētājai paziņot, ka budžeta grozījums Nr. 2/2025 ir pieņemts galīgajā variantā, kā arī nodrošināt tā publicēšanu </w:t>
      </w:r>
      <w:r w:rsidRPr="00444968">
        <w:rPr>
          <w:i/>
        </w:rPr>
        <w:t>Eiropas Savienības Oficiālajā Vēstnesī</w:t>
      </w:r>
      <w:r w:rsidRPr="00444968">
        <w:t>;</w:t>
      </w:r>
    </w:p>
    <w:p w14:paraId="18D3F3FE" w14:textId="16183F11" w:rsidR="004F265F" w:rsidRPr="00444968" w:rsidRDefault="004E1E32" w:rsidP="004F265F">
      <w:pPr>
        <w:pStyle w:val="NormalHanging12a"/>
      </w:pPr>
      <w:r w:rsidRPr="00444968">
        <w:t>13.</w:t>
      </w:r>
      <w:r w:rsidRPr="00444968">
        <w:tab/>
        <w:t>uzdod priekšsēdētājai šo rezolūciju nosūtīt Padomei, Komisijai, kā arī pārējām attiecīgajām iestādēm un struktūrām un dalībvalstu parlamentiem.</w:t>
      </w:r>
    </w:p>
    <w:p w14:paraId="1AB374A0" w14:textId="5D0691D0" w:rsidR="00E365E1" w:rsidRPr="00444968" w:rsidRDefault="00E365E1" w:rsidP="00214B30"/>
    <w:sectPr w:rsidR="00E365E1" w:rsidRPr="00444968" w:rsidSect="004F265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37E016" w14:textId="77777777" w:rsidR="00214B30" w:rsidRPr="004F265F" w:rsidRDefault="00214B30">
      <w:r w:rsidRPr="004F265F">
        <w:separator/>
      </w:r>
    </w:p>
  </w:endnote>
  <w:endnote w:type="continuationSeparator" w:id="0">
    <w:p w14:paraId="30823CAA" w14:textId="77777777" w:rsidR="00214B30" w:rsidRPr="004F265F" w:rsidRDefault="00214B30">
      <w:r w:rsidRPr="004F265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AB6E70" w14:textId="77777777" w:rsidR="00064002" w:rsidRPr="004F265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30343D" w14:textId="77777777" w:rsidR="00064002" w:rsidRPr="004F265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89962" w14:textId="77777777" w:rsidR="00064002" w:rsidRPr="004F265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DC9E5E" w14:textId="77777777" w:rsidR="00214B30" w:rsidRPr="004F265F" w:rsidRDefault="00214B30">
      <w:r w:rsidRPr="004F265F">
        <w:separator/>
      </w:r>
    </w:p>
  </w:footnote>
  <w:footnote w:type="continuationSeparator" w:id="0">
    <w:p w14:paraId="577951EB" w14:textId="77777777" w:rsidR="00214B30" w:rsidRPr="004F265F" w:rsidRDefault="00214B30">
      <w:r w:rsidRPr="004F265F">
        <w:continuationSeparator/>
      </w:r>
    </w:p>
  </w:footnote>
  <w:footnote w:id="1">
    <w:p w14:paraId="4BD5F3FD" w14:textId="64B361EE" w:rsidR="004E1E32" w:rsidRPr="004F265F" w:rsidRDefault="004E1E32" w:rsidP="004F265F">
      <w:pPr>
        <w:pStyle w:val="FootnoteText"/>
        <w:ind w:left="567" w:hanging="567"/>
        <w:rPr>
          <w:sz w:val="24"/>
          <w:lang w:val="lv-LV"/>
        </w:rPr>
      </w:pPr>
      <w:r w:rsidRPr="004F265F">
        <w:rPr>
          <w:rStyle w:val="FootnoteReference"/>
          <w:sz w:val="24"/>
          <w:lang w:val="lv-LV"/>
        </w:rPr>
        <w:footnoteRef/>
      </w:r>
      <w:r w:rsidR="004F265F" w:rsidRPr="004F265F">
        <w:rPr>
          <w:sz w:val="24"/>
          <w:lang w:val="lv-LV"/>
        </w:rPr>
        <w:t xml:space="preserve"> </w:t>
      </w:r>
      <w:r w:rsidR="004F265F" w:rsidRPr="004F265F">
        <w:rPr>
          <w:sz w:val="24"/>
          <w:lang w:val="lv-LV"/>
        </w:rPr>
        <w:tab/>
      </w:r>
      <w:r w:rsidRPr="004F265F">
        <w:rPr>
          <w:sz w:val="24"/>
          <w:lang w:val="lv-LV"/>
        </w:rPr>
        <w:t xml:space="preserve">OV L, 2024/2509, 26.9.2024., ELI: </w:t>
      </w:r>
      <w:hyperlink r:id="rId1" w:history="1">
        <w:r w:rsidRPr="004F265F">
          <w:rPr>
            <w:rStyle w:val="Hyperlink"/>
            <w:sz w:val="24"/>
            <w:lang w:val="lv-LV"/>
          </w:rPr>
          <w:t>http://data.europa.eu/eli/reg/2024/2509/oj</w:t>
        </w:r>
      </w:hyperlink>
      <w:r w:rsidRPr="004F265F">
        <w:rPr>
          <w:sz w:val="24"/>
          <w:lang w:val="lv-LV"/>
        </w:rPr>
        <w:t>.</w:t>
      </w:r>
    </w:p>
  </w:footnote>
  <w:footnote w:id="2">
    <w:p w14:paraId="69FE1D08" w14:textId="0FA4830D" w:rsidR="004E1E32" w:rsidRPr="004F265F" w:rsidRDefault="004E1E32" w:rsidP="004F265F">
      <w:pPr>
        <w:pStyle w:val="FootnoteText"/>
        <w:ind w:left="567" w:hanging="567"/>
        <w:rPr>
          <w:rStyle w:val="Hyperlink"/>
          <w:sz w:val="24"/>
          <w:lang w:val="lv-LV"/>
        </w:rPr>
      </w:pPr>
      <w:r w:rsidRPr="004F265F">
        <w:rPr>
          <w:rStyle w:val="FootnoteReference"/>
          <w:sz w:val="24"/>
          <w:lang w:val="lv-LV"/>
        </w:rPr>
        <w:footnoteRef/>
      </w:r>
      <w:r w:rsidR="004F265F" w:rsidRPr="004F265F">
        <w:rPr>
          <w:sz w:val="24"/>
          <w:lang w:val="lv-LV"/>
        </w:rPr>
        <w:t xml:space="preserve"> </w:t>
      </w:r>
      <w:r w:rsidR="004F265F" w:rsidRPr="004F265F">
        <w:rPr>
          <w:sz w:val="24"/>
          <w:lang w:val="lv-LV"/>
        </w:rPr>
        <w:tab/>
      </w:r>
      <w:r w:rsidRPr="004F265F">
        <w:rPr>
          <w:sz w:val="24"/>
          <w:lang w:val="lv-LV"/>
        </w:rPr>
        <w:t xml:space="preserve">OV L, 2025/31, 27.2.2025., ELI: </w:t>
      </w:r>
      <w:r w:rsidR="00444968">
        <w:fldChar w:fldCharType="begin"/>
      </w:r>
      <w:r w:rsidR="00444968" w:rsidRPr="00444968">
        <w:rPr>
          <w:lang w:val="fi-FI"/>
        </w:rPr>
        <w:instrText>HYPERLINK "http://data.europa.eu/eli/budget/2025/31/oj%20"</w:instrText>
      </w:r>
      <w:r w:rsidR="00444968">
        <w:fldChar w:fldCharType="separate"/>
      </w:r>
      <w:r w:rsidRPr="004F265F">
        <w:rPr>
          <w:rStyle w:val="Hyperlink"/>
          <w:sz w:val="24"/>
          <w:lang w:val="lv-LV"/>
        </w:rPr>
        <w:t>http://data.europa.eu/eli/budget/2025/31/oj</w:t>
      </w:r>
      <w:r w:rsidR="00444968">
        <w:rPr>
          <w:rStyle w:val="Hyperlink"/>
          <w:sz w:val="24"/>
          <w:lang w:val="lv-LV"/>
        </w:rPr>
        <w:fldChar w:fldCharType="end"/>
      </w:r>
      <w:r w:rsidRPr="004F265F">
        <w:rPr>
          <w:rStyle w:val="Hyperlink"/>
          <w:sz w:val="24"/>
          <w:lang w:val="lv-LV"/>
        </w:rPr>
        <w:t>.</w:t>
      </w:r>
    </w:p>
  </w:footnote>
  <w:footnote w:id="3">
    <w:p w14:paraId="54AC99DE" w14:textId="16347BF8" w:rsidR="004E1E32" w:rsidRPr="004F265F" w:rsidRDefault="004E1E32" w:rsidP="004F265F">
      <w:pPr>
        <w:pStyle w:val="FootnoteText"/>
        <w:ind w:left="567" w:hanging="567"/>
        <w:rPr>
          <w:rStyle w:val="Hyperlink"/>
          <w:sz w:val="24"/>
          <w:lang w:val="lv-LV"/>
        </w:rPr>
      </w:pPr>
      <w:r w:rsidRPr="004F265F">
        <w:rPr>
          <w:rStyle w:val="FootnoteReference"/>
          <w:sz w:val="24"/>
          <w:lang w:val="lv-LV"/>
        </w:rPr>
        <w:footnoteRef/>
      </w:r>
      <w:r w:rsidR="004F265F" w:rsidRPr="004F265F">
        <w:rPr>
          <w:sz w:val="24"/>
          <w:lang w:val="lv-LV"/>
        </w:rPr>
        <w:t xml:space="preserve"> </w:t>
      </w:r>
      <w:r w:rsidR="004F265F" w:rsidRPr="004F265F">
        <w:rPr>
          <w:sz w:val="24"/>
          <w:lang w:val="lv-LV"/>
        </w:rPr>
        <w:tab/>
      </w:r>
      <w:r w:rsidRPr="004F265F">
        <w:rPr>
          <w:sz w:val="24"/>
          <w:lang w:val="lv-LV"/>
        </w:rPr>
        <w:t xml:space="preserve">OV L 433 I, 22.12.2020., 11. lpp., ELI: </w:t>
      </w:r>
      <w:r w:rsidR="00444968">
        <w:fldChar w:fldCharType="begin"/>
      </w:r>
      <w:r w:rsidR="00444968" w:rsidRPr="00444968">
        <w:rPr>
          <w:lang w:val="sv-SE"/>
        </w:rPr>
        <w:instrText>HYPERLINK "http://data.europa.eu/eli/reg/2020/433/oj"</w:instrText>
      </w:r>
      <w:r w:rsidR="00444968">
        <w:fldChar w:fldCharType="separate"/>
      </w:r>
      <w:r w:rsidRPr="004F265F">
        <w:rPr>
          <w:rStyle w:val="Hyperlink"/>
          <w:sz w:val="24"/>
          <w:lang w:val="lv-LV"/>
        </w:rPr>
        <w:t>http://data.europa.eu/eli/reg/2020/433/oj</w:t>
      </w:r>
      <w:r w:rsidR="00444968">
        <w:rPr>
          <w:rStyle w:val="Hyperlink"/>
          <w:sz w:val="24"/>
          <w:lang w:val="lv-LV"/>
        </w:rPr>
        <w:fldChar w:fldCharType="end"/>
      </w:r>
      <w:r w:rsidRPr="004F265F">
        <w:rPr>
          <w:rStyle w:val="Hyperlink"/>
          <w:sz w:val="24"/>
          <w:lang w:val="lv-LV"/>
        </w:rPr>
        <w:t>.</w:t>
      </w:r>
    </w:p>
  </w:footnote>
  <w:footnote w:id="4">
    <w:p w14:paraId="7C97AAF1" w14:textId="57CF1AAA" w:rsidR="004E1E32" w:rsidRPr="004F265F" w:rsidRDefault="004E1E32" w:rsidP="004F265F">
      <w:pPr>
        <w:pStyle w:val="FootnoteText"/>
        <w:ind w:left="567" w:hanging="567"/>
        <w:rPr>
          <w:sz w:val="24"/>
          <w:lang w:val="lv-LV"/>
        </w:rPr>
      </w:pPr>
      <w:r w:rsidRPr="004F265F">
        <w:rPr>
          <w:rStyle w:val="FootnoteReference"/>
          <w:sz w:val="24"/>
          <w:lang w:val="lv-LV"/>
        </w:rPr>
        <w:footnoteRef/>
      </w:r>
      <w:r w:rsidR="004F265F" w:rsidRPr="004F265F">
        <w:rPr>
          <w:sz w:val="24"/>
          <w:lang w:val="lv-LV"/>
        </w:rPr>
        <w:t xml:space="preserve"> </w:t>
      </w:r>
      <w:r w:rsidR="004F265F" w:rsidRPr="004F265F">
        <w:rPr>
          <w:sz w:val="24"/>
          <w:lang w:val="lv-LV"/>
        </w:rPr>
        <w:tab/>
      </w:r>
      <w:r w:rsidRPr="004F265F">
        <w:rPr>
          <w:sz w:val="24"/>
          <w:lang w:val="lv-LV"/>
        </w:rPr>
        <w:t xml:space="preserve">OV L 433 I, 22.12.2020., 28. lpp., ELI: </w:t>
      </w:r>
      <w:r w:rsidR="00444968">
        <w:fldChar w:fldCharType="begin"/>
      </w:r>
      <w:r w:rsidR="00444968" w:rsidRPr="00444968">
        <w:rPr>
          <w:lang w:val="sv-SE"/>
        </w:rPr>
        <w:instrText>HYPERLINK "http://data.europa.eu/eli/agree_interinstit/2020/1222/oj"</w:instrText>
      </w:r>
      <w:r w:rsidR="00444968">
        <w:fldChar w:fldCharType="separate"/>
      </w:r>
      <w:r w:rsidRPr="004F265F">
        <w:rPr>
          <w:rStyle w:val="Hyperlink"/>
          <w:sz w:val="24"/>
          <w:lang w:val="lv-LV"/>
        </w:rPr>
        <w:t>http://data.europa.eu/eli/agree_interinstit/2020/1222/oj</w:t>
      </w:r>
      <w:r w:rsidR="00444968">
        <w:rPr>
          <w:rStyle w:val="Hyperlink"/>
          <w:sz w:val="24"/>
          <w:lang w:val="lv-LV"/>
        </w:rPr>
        <w:fldChar w:fldCharType="end"/>
      </w:r>
      <w:r w:rsidRPr="004F265F">
        <w:rPr>
          <w:rStyle w:val="Hyperlink"/>
          <w:sz w:val="24"/>
          <w:lang w:val="lv-LV"/>
        </w:rPr>
        <w:t>.</w:t>
      </w:r>
    </w:p>
  </w:footnote>
  <w:footnote w:id="5">
    <w:p w14:paraId="6185E2D3" w14:textId="682379C0" w:rsidR="004E1E32" w:rsidRPr="004F265F" w:rsidRDefault="004E1E32" w:rsidP="004F265F">
      <w:pPr>
        <w:pStyle w:val="FootnoteText"/>
        <w:ind w:left="567" w:hanging="567"/>
        <w:rPr>
          <w:sz w:val="24"/>
          <w:lang w:val="lv-LV"/>
        </w:rPr>
      </w:pPr>
      <w:r w:rsidRPr="004F265F">
        <w:rPr>
          <w:rStyle w:val="FootnoteReference"/>
          <w:sz w:val="24"/>
          <w:lang w:val="lv-LV"/>
        </w:rPr>
        <w:footnoteRef/>
      </w:r>
      <w:r w:rsidR="004F265F" w:rsidRPr="004F265F">
        <w:rPr>
          <w:sz w:val="24"/>
          <w:lang w:val="lv-LV"/>
        </w:rPr>
        <w:t xml:space="preserve"> </w:t>
      </w:r>
      <w:r w:rsidR="004F265F" w:rsidRPr="004F265F">
        <w:rPr>
          <w:sz w:val="24"/>
          <w:lang w:val="lv-LV"/>
        </w:rPr>
        <w:tab/>
      </w:r>
      <w:r w:rsidRPr="004F265F">
        <w:rPr>
          <w:sz w:val="24"/>
          <w:lang w:val="lv-LV"/>
        </w:rPr>
        <w:t xml:space="preserve">OV L 424, 15.12.2020., 1. lpp., ELI: </w:t>
      </w:r>
      <w:r w:rsidR="00444968">
        <w:fldChar w:fldCharType="begin"/>
      </w:r>
      <w:r w:rsidR="00444968" w:rsidRPr="00444968">
        <w:rPr>
          <w:lang w:val="fi-FI"/>
        </w:rPr>
        <w:instrText>HYPERLINK "http://data.europa.eu/eli/dec/2020/2053/oj"</w:instrText>
      </w:r>
      <w:r w:rsidR="00444968">
        <w:fldChar w:fldCharType="separate"/>
      </w:r>
      <w:r w:rsidRPr="004F265F">
        <w:rPr>
          <w:rStyle w:val="Hyperlink"/>
          <w:sz w:val="24"/>
          <w:lang w:val="lv-LV"/>
        </w:rPr>
        <w:t>http://data.europa.eu/eli/dec/2020/2053/oj</w:t>
      </w:r>
      <w:r w:rsidR="00444968">
        <w:rPr>
          <w:rStyle w:val="Hyperlink"/>
          <w:sz w:val="24"/>
          <w:lang w:val="lv-LV"/>
        </w:rPr>
        <w:fldChar w:fldCharType="end"/>
      </w:r>
      <w:r w:rsidRPr="004F265F">
        <w:rPr>
          <w:rStyle w:val="Hyperlink"/>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A9D9D9" w14:textId="77777777" w:rsidR="00064002" w:rsidRPr="004F265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EBEC5" w14:textId="77777777" w:rsidR="00064002" w:rsidRPr="004F265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A53216" w14:textId="77777777" w:rsidR="00064002" w:rsidRPr="004F265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93478159">
    <w:abstractNumId w:val="9"/>
  </w:num>
  <w:num w:numId="2" w16cid:durableId="967513901">
    <w:abstractNumId w:val="9"/>
  </w:num>
  <w:num w:numId="3" w16cid:durableId="1908494885">
    <w:abstractNumId w:val="7"/>
  </w:num>
  <w:num w:numId="4" w16cid:durableId="493883274">
    <w:abstractNumId w:val="7"/>
  </w:num>
  <w:num w:numId="5" w16cid:durableId="329985109">
    <w:abstractNumId w:val="6"/>
  </w:num>
  <w:num w:numId="6" w16cid:durableId="1522237028">
    <w:abstractNumId w:val="6"/>
  </w:num>
  <w:num w:numId="7" w16cid:durableId="1743984410">
    <w:abstractNumId w:val="5"/>
  </w:num>
  <w:num w:numId="8" w16cid:durableId="179004938">
    <w:abstractNumId w:val="5"/>
  </w:num>
  <w:num w:numId="9" w16cid:durableId="226041822">
    <w:abstractNumId w:val="4"/>
  </w:num>
  <w:num w:numId="10" w16cid:durableId="1427651981">
    <w:abstractNumId w:val="4"/>
  </w:num>
  <w:num w:numId="11" w16cid:durableId="396779753">
    <w:abstractNumId w:val="8"/>
  </w:num>
  <w:num w:numId="12" w16cid:durableId="1004895109">
    <w:abstractNumId w:val="8"/>
  </w:num>
  <w:num w:numId="13" w16cid:durableId="972103983">
    <w:abstractNumId w:val="3"/>
  </w:num>
  <w:num w:numId="14" w16cid:durableId="521819806">
    <w:abstractNumId w:val="3"/>
  </w:num>
  <w:num w:numId="15" w16cid:durableId="1709793143">
    <w:abstractNumId w:val="2"/>
  </w:num>
  <w:num w:numId="16" w16cid:durableId="2034650114">
    <w:abstractNumId w:val="2"/>
  </w:num>
  <w:num w:numId="17" w16cid:durableId="963192577">
    <w:abstractNumId w:val="1"/>
  </w:num>
  <w:num w:numId="18" w16cid:durableId="1256598085">
    <w:abstractNumId w:val="1"/>
  </w:num>
  <w:num w:numId="19" w16cid:durableId="649598131">
    <w:abstractNumId w:val="0"/>
  </w:num>
  <w:num w:numId="20" w16cid:durableId="50622562">
    <w:abstractNumId w:val="0"/>
  </w:num>
  <w:num w:numId="21" w16cid:durableId="75715185">
    <w:abstractNumId w:val="9"/>
  </w:num>
  <w:num w:numId="22" w16cid:durableId="1325084890">
    <w:abstractNumId w:val="7"/>
  </w:num>
  <w:num w:numId="23" w16cid:durableId="1750035744">
    <w:abstractNumId w:val="6"/>
  </w:num>
  <w:num w:numId="24" w16cid:durableId="1018310384">
    <w:abstractNumId w:val="5"/>
  </w:num>
  <w:num w:numId="25" w16cid:durableId="44254684">
    <w:abstractNumId w:val="4"/>
  </w:num>
  <w:num w:numId="26" w16cid:durableId="747070970">
    <w:abstractNumId w:val="8"/>
  </w:num>
  <w:num w:numId="27" w16cid:durableId="664817116">
    <w:abstractNumId w:val="3"/>
  </w:num>
  <w:num w:numId="28" w16cid:durableId="175774075">
    <w:abstractNumId w:val="2"/>
  </w:num>
  <w:num w:numId="29" w16cid:durableId="241379145">
    <w:abstractNumId w:val="1"/>
  </w:num>
  <w:num w:numId="30" w16cid:durableId="1872187042">
    <w:abstractNumId w:val="0"/>
  </w:num>
  <w:num w:numId="31" w16cid:durableId="1229460639">
    <w:abstractNumId w:val="9"/>
  </w:num>
  <w:num w:numId="32" w16cid:durableId="1781148505">
    <w:abstractNumId w:val="7"/>
  </w:num>
  <w:num w:numId="33" w16cid:durableId="774667045">
    <w:abstractNumId w:val="6"/>
  </w:num>
  <w:num w:numId="34" w16cid:durableId="281963006">
    <w:abstractNumId w:val="5"/>
  </w:num>
  <w:num w:numId="35" w16cid:durableId="436677206">
    <w:abstractNumId w:val="4"/>
  </w:num>
  <w:num w:numId="36" w16cid:durableId="1880504563">
    <w:abstractNumId w:val="8"/>
  </w:num>
  <w:num w:numId="37" w16cid:durableId="854343972">
    <w:abstractNumId w:val="3"/>
  </w:num>
  <w:num w:numId="38" w16cid:durableId="803353191">
    <w:abstractNumId w:val="2"/>
  </w:num>
  <w:num w:numId="39" w16cid:durableId="380641012">
    <w:abstractNumId w:val="1"/>
  </w:num>
  <w:num w:numId="40" w16cid:durableId="2113162626">
    <w:abstractNumId w:val="0"/>
  </w:num>
  <w:num w:numId="41" w16cid:durableId="1243905516">
    <w:abstractNumId w:val="10"/>
  </w:num>
  <w:num w:numId="42" w16cid:durableId="531266666">
    <w:abstractNumId w:val="10"/>
  </w:num>
  <w:num w:numId="43" w16cid:durableId="1342127801">
    <w:abstractNumId w:val="10"/>
  </w:num>
  <w:num w:numId="44" w16cid:durableId="151494963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2"/>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65/2025"/>
    <w:docVar w:name="dvlangue" w:val="LV"/>
    <w:docVar w:name="dvnumam" w:val="0"/>
    <w:docVar w:name="dvpe" w:val="776.838"/>
    <w:docVar w:name="dvrapporteur" w:val="Referents: "/>
    <w:docVar w:name="dvtitre" w:val="Eiropas Parlamenta 2025. gada XX. XXX  rezolūcija par Padomes nostāju attiecībā uz Eiropas Savienības 2025. finanšu gada budžeta grozījuma Nr. 2/2025 projektu: ieņēmumu (pašu resursu) atjauninājums un izdevumu korekcijas(12353/2025 – C10-0209/2025 – 2025/0206(BUD))"/>
  </w:docVars>
  <w:rsids>
    <w:rsidRoot w:val="00214B30"/>
    <w:rsid w:val="00002272"/>
    <w:rsid w:val="00064002"/>
    <w:rsid w:val="000677B9"/>
    <w:rsid w:val="000831BA"/>
    <w:rsid w:val="000A42CC"/>
    <w:rsid w:val="000E7DD9"/>
    <w:rsid w:val="0010095E"/>
    <w:rsid w:val="00125B37"/>
    <w:rsid w:val="00187494"/>
    <w:rsid w:val="001F32AE"/>
    <w:rsid w:val="00214B30"/>
    <w:rsid w:val="002767FF"/>
    <w:rsid w:val="002B18FE"/>
    <w:rsid w:val="002B5493"/>
    <w:rsid w:val="00343214"/>
    <w:rsid w:val="00361C00"/>
    <w:rsid w:val="00395FA1"/>
    <w:rsid w:val="003E15D4"/>
    <w:rsid w:val="00411CCE"/>
    <w:rsid w:val="0041666E"/>
    <w:rsid w:val="00421060"/>
    <w:rsid w:val="00444968"/>
    <w:rsid w:val="00471C19"/>
    <w:rsid w:val="004867E3"/>
    <w:rsid w:val="00494A28"/>
    <w:rsid w:val="004C0004"/>
    <w:rsid w:val="004C5D52"/>
    <w:rsid w:val="004E1E32"/>
    <w:rsid w:val="004F265F"/>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5289"/>
    <w:rsid w:val="00756632"/>
    <w:rsid w:val="00762C74"/>
    <w:rsid w:val="00786EC0"/>
    <w:rsid w:val="007B017A"/>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A7255"/>
    <w:rsid w:val="00AB441E"/>
    <w:rsid w:val="00AB6293"/>
    <w:rsid w:val="00AE0928"/>
    <w:rsid w:val="00AF3B82"/>
    <w:rsid w:val="00B058D8"/>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B492C0"/>
  <w15:chartTrackingRefBased/>
  <w15:docId w15:val="{7D38A799-E4B6-4746-9FA1-05EC04CB00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E1E32"/>
    <w:pPr>
      <w:spacing w:before="480" w:after="240"/>
    </w:pPr>
  </w:style>
  <w:style w:type="paragraph" w:customStyle="1" w:styleId="NormalBold">
    <w:name w:val="NormalBold"/>
    <w:basedOn w:val="Normal"/>
    <w:rsid w:val="004E1E32"/>
    <w:rPr>
      <w:b/>
    </w:rPr>
  </w:style>
  <w:style w:type="paragraph" w:customStyle="1" w:styleId="NormalHanging12a">
    <w:name w:val="NormalHanging12a"/>
    <w:basedOn w:val="Normal"/>
    <w:link w:val="NormalHanging12aChar"/>
    <w:rsid w:val="004E1E32"/>
    <w:pPr>
      <w:spacing w:after="240"/>
      <w:ind w:left="567" w:hanging="567"/>
    </w:pPr>
  </w:style>
  <w:style w:type="character" w:styleId="Hyperlink">
    <w:name w:val="Hyperlink"/>
    <w:basedOn w:val="DefaultParagraphFont"/>
    <w:uiPriority w:val="99"/>
    <w:rsid w:val="004E1E32"/>
    <w:rPr>
      <w:color w:val="0563C1" w:themeColor="hyperlink"/>
      <w:u w:val="single"/>
    </w:rPr>
  </w:style>
  <w:style w:type="character" w:customStyle="1" w:styleId="NormalHanging12aChar">
    <w:name w:val="NormalHanging12a Char"/>
    <w:basedOn w:val="DefaultParagraphFont"/>
    <w:link w:val="NormalHanging12a"/>
    <w:locked/>
    <w:rsid w:val="004E1E32"/>
    <w:rPr>
      <w:sz w:val="24"/>
      <w:lang w:val="lv-LV"/>
    </w:rPr>
  </w:style>
  <w:style w:type="paragraph" w:styleId="Revision">
    <w:name w:val="Revision"/>
    <w:hidden/>
    <w:uiPriority w:val="99"/>
    <w:semiHidden/>
    <w:rsid w:val="00B058D8"/>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4/25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1134</Words>
  <Characters>7275</Characters>
  <Application>Microsoft Office Word</Application>
  <DocSecurity>0</DocSecurity>
  <Lines>139</Lines>
  <Paragraphs>51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2025-10-08T11:13:00Z</dcterms:created>
  <dcterms:modified xsi:type="dcterms:W3CDTF">2025-10-08T11:13:00Z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A10-0165/2025</vt:lpwstr>
  </property>
  <property fmtid="{D5CDD505-2E9C-101B-9397-08002B2CF9AE}" pid="4" name="&lt;Type&gt;">
    <vt:lpwstr>RR</vt:lpwstr>
  </property>
</Properties>
</file>