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E2C19" w14:textId="77777777" w:rsidR="00424F51" w:rsidRDefault="00424F51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79BF" w14:paraId="74E2D5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814DC7" w14:textId="77777777" w:rsidR="00751A4A" w:rsidRPr="009079BF" w:rsidRDefault="00E55080" w:rsidP="0010095E">
            <w:pPr>
              <w:pStyle w:val="EPName"/>
            </w:pPr>
            <w:r w:rsidRPr="009079BF">
              <w:t>Parlament Ewropew</w:t>
            </w:r>
          </w:p>
          <w:p w14:paraId="5091C14E" w14:textId="77777777" w:rsidR="00751A4A" w:rsidRPr="009079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79BF">
              <w:t>2024</w:t>
            </w:r>
            <w:r w:rsidR="00817416" w:rsidRPr="009079BF">
              <w:t>-202</w:t>
            </w:r>
            <w:r w:rsidRPr="009079BF">
              <w:t>9</w:t>
            </w:r>
          </w:p>
        </w:tc>
        <w:tc>
          <w:tcPr>
            <w:tcW w:w="2268" w:type="dxa"/>
            <w:shd w:val="clear" w:color="auto" w:fill="auto"/>
          </w:tcPr>
          <w:p w14:paraId="02B1AA67" w14:textId="77777777" w:rsidR="00751A4A" w:rsidRPr="009079BF" w:rsidRDefault="00187494" w:rsidP="0010095E">
            <w:pPr>
              <w:pStyle w:val="EPLogo"/>
            </w:pPr>
            <w:r w:rsidRPr="009079BF">
              <w:rPr>
                <w:noProof/>
                <w:lang w:eastAsia="ja-JP"/>
              </w:rPr>
              <w:drawing>
                <wp:inline distT="0" distB="0" distL="0" distR="0" wp14:anchorId="6C1C8183" wp14:editId="1CA15D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23D182" w14:textId="77777777" w:rsidR="00D058B8" w:rsidRPr="009079BF" w:rsidRDefault="00D058B8" w:rsidP="004C5D52">
      <w:pPr>
        <w:pStyle w:val="LineTop"/>
      </w:pPr>
    </w:p>
    <w:p w14:paraId="22293747" w14:textId="77777777" w:rsidR="00680577" w:rsidRPr="009079BF" w:rsidRDefault="00E55080" w:rsidP="00680577">
      <w:pPr>
        <w:pStyle w:val="EPBodyTA1"/>
      </w:pPr>
      <w:r w:rsidRPr="009079BF">
        <w:t>TESTI ADOTTATI</w:t>
      </w:r>
    </w:p>
    <w:p w14:paraId="223A6A79" w14:textId="77777777" w:rsidR="00D058B8" w:rsidRPr="009079BF" w:rsidRDefault="00D058B8" w:rsidP="00D058B8">
      <w:pPr>
        <w:pStyle w:val="LineBottom"/>
      </w:pPr>
    </w:p>
    <w:p w14:paraId="361368F8" w14:textId="581E3C00" w:rsidR="00E55080" w:rsidRPr="009079BF" w:rsidRDefault="00E55080" w:rsidP="00E55080">
      <w:pPr>
        <w:pStyle w:val="ATHeading1"/>
      </w:pPr>
      <w:bookmarkStart w:id="0" w:name="TANumber"/>
      <w:r w:rsidRPr="009079BF">
        <w:t>P10_TA(2025)0</w:t>
      </w:r>
      <w:r w:rsidR="00D504DF">
        <w:t>218</w:t>
      </w:r>
      <w:bookmarkEnd w:id="0"/>
    </w:p>
    <w:p w14:paraId="21AEB0BC" w14:textId="77777777" w:rsidR="00E55080" w:rsidRPr="009079BF" w:rsidRDefault="00E55080" w:rsidP="00E55080">
      <w:pPr>
        <w:pStyle w:val="ATHeading2"/>
      </w:pPr>
      <w:bookmarkStart w:id="1" w:name="title"/>
      <w:r w:rsidRPr="009079BF">
        <w:t>Abbozz ta’ baġit emendatorju Nru 2/2025: aġġornament tad-dħul (riżorsi proprji) u aġġustamenti tan-nefqa</w:t>
      </w:r>
      <w:bookmarkEnd w:id="1"/>
    </w:p>
    <w:p w14:paraId="45BEF071" w14:textId="77777777" w:rsidR="00E55080" w:rsidRPr="009079BF" w:rsidRDefault="00E55080" w:rsidP="00E55080">
      <w:pPr>
        <w:rPr>
          <w:i/>
          <w:vanish/>
        </w:rPr>
      </w:pPr>
      <w:r w:rsidRPr="009079BF">
        <w:rPr>
          <w:i/>
        </w:rPr>
        <w:fldChar w:fldCharType="begin"/>
      </w:r>
      <w:r w:rsidRPr="009079BF">
        <w:rPr>
          <w:i/>
        </w:rPr>
        <w:instrText xml:space="preserve"> TC"(</w:instrText>
      </w:r>
      <w:bookmarkStart w:id="2" w:name="DocNumber"/>
      <w:r w:rsidRPr="009079BF">
        <w:rPr>
          <w:i/>
        </w:rPr>
        <w:instrText>A10-0165/2025</w:instrText>
      </w:r>
      <w:bookmarkEnd w:id="2"/>
      <w:r w:rsidRPr="009079BF">
        <w:rPr>
          <w:i/>
        </w:rPr>
        <w:instrText xml:space="preserve"> - Rapporteur: Victor Negrescu)"\l3 \n&gt; \* MERGEFORMAT </w:instrText>
      </w:r>
      <w:r w:rsidRPr="009079BF">
        <w:rPr>
          <w:i/>
        </w:rPr>
        <w:fldChar w:fldCharType="end"/>
      </w:r>
    </w:p>
    <w:p w14:paraId="491AF837" w14:textId="77777777" w:rsidR="00E55080" w:rsidRPr="009079BF" w:rsidRDefault="00E55080" w:rsidP="00E55080">
      <w:pPr>
        <w:rPr>
          <w:vanish/>
        </w:rPr>
      </w:pPr>
      <w:bookmarkStart w:id="3" w:name="Commission"/>
      <w:r w:rsidRPr="009079BF">
        <w:rPr>
          <w:vanish/>
        </w:rPr>
        <w:t>Kumitat għall-Baġits</w:t>
      </w:r>
      <w:bookmarkEnd w:id="3"/>
    </w:p>
    <w:p w14:paraId="2AB135AA" w14:textId="77777777" w:rsidR="00E55080" w:rsidRPr="009079BF" w:rsidRDefault="00E55080" w:rsidP="00E55080">
      <w:pPr>
        <w:rPr>
          <w:vanish/>
        </w:rPr>
      </w:pPr>
      <w:bookmarkStart w:id="4" w:name="PE"/>
      <w:r w:rsidRPr="009079BF">
        <w:rPr>
          <w:vanish/>
        </w:rPr>
        <w:t>PE776.838</w:t>
      </w:r>
      <w:bookmarkEnd w:id="4"/>
    </w:p>
    <w:p w14:paraId="0C63663B" w14:textId="2923B6DB" w:rsidR="00E55080" w:rsidRPr="009079BF" w:rsidRDefault="00E55080" w:rsidP="00662EC8">
      <w:pPr>
        <w:pStyle w:val="ATHeading3"/>
      </w:pPr>
      <w:bookmarkStart w:id="5" w:name="Sujet"/>
      <w:r w:rsidRPr="009079BF">
        <w:t>Riżoluzzjoni tal-Parlament Ewropew tat-8 ta' Ottubru 2025 dwar il-pożizzjoni tal-Kunsill dwar l-abbozz ta’ baġit emendatorju Nru 2/2025 tal-Unjoni Ewropea għas-sena finanzjarja 2025 – Aġġornament tad-dħul (riżorsi proprji) u aġġustamenti tan-nefqa</w:t>
      </w:r>
      <w:bookmarkEnd w:id="5"/>
      <w:r w:rsidRPr="009079BF">
        <w:t xml:space="preserve"> </w:t>
      </w:r>
      <w:bookmarkStart w:id="6" w:name="References"/>
      <w:r w:rsidRPr="009079BF">
        <w:t>(12353/2025 – C10-0209/2025 – 2025/0206(BUD))</w:t>
      </w:r>
      <w:bookmarkEnd w:id="6"/>
    </w:p>
    <w:p w14:paraId="263D6761" w14:textId="77777777" w:rsidR="00900439" w:rsidRPr="009079BF" w:rsidRDefault="00900439" w:rsidP="00900439">
      <w:pPr>
        <w:pStyle w:val="EPComma"/>
      </w:pPr>
      <w:bookmarkStart w:id="7" w:name="TextBodyBegin"/>
      <w:bookmarkEnd w:id="7"/>
      <w:r w:rsidRPr="009079BF">
        <w:rPr>
          <w:i/>
        </w:rPr>
        <w:t>Il-Parlament Ewropew,</w:t>
      </w:r>
    </w:p>
    <w:p w14:paraId="1CB3C9CF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l-Artikolu 314 tat-Trattat dwar il-Funzjonament tal-Unjoni Ewropea,</w:t>
      </w:r>
    </w:p>
    <w:p w14:paraId="3851CE4F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l-Artikolu 106a tat-Trattat li jistabbilixxi l-Komunità Ewropea tal-Enerġija Atomika,</w:t>
      </w:r>
    </w:p>
    <w:p w14:paraId="35648ACF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r-Regolament (UE, Euratom) 2024/2509 tal-Parlament Ewropew u tal-Kunsill tat-23 ta’ Settembru 2024 dwar ir-regoli finanzjarji applikabbli għall-baġit ġenerali tal-Unjoni</w:t>
      </w:r>
      <w:r w:rsidRPr="009079BF">
        <w:rPr>
          <w:rStyle w:val="FootnoteReference"/>
        </w:rPr>
        <w:footnoteReference w:id="1"/>
      </w:r>
      <w:r w:rsidRPr="009079BF">
        <w:t>, u b’mod partikolari l-Artikolu 44 tiegħu,</w:t>
      </w:r>
    </w:p>
    <w:p w14:paraId="6D2E066E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l-baġit ġenerali tal-Unjoni Ewropea għas-sena finanzjarja 2025, adottat b’mod definittiv fis-27 ta’ Novembru 2024</w:t>
      </w:r>
      <w:r w:rsidRPr="009079BF">
        <w:rPr>
          <w:rStyle w:val="FootnoteReference"/>
        </w:rPr>
        <w:footnoteReference w:id="2"/>
      </w:r>
      <w:r w:rsidRPr="009079BF">
        <w:t>,</w:t>
      </w:r>
    </w:p>
    <w:p w14:paraId="19B9A4FF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r-Regolament tal-Kunsill (UE, Euratom) 2020/2093 tas-17 ta’ Diċembru 2020 li jistabbilixxi l-qafas finanzjarju pluriennali għas-snin mill-2021 sal-2027</w:t>
      </w:r>
      <w:r w:rsidRPr="009079BF">
        <w:rPr>
          <w:rStyle w:val="FootnoteReference"/>
        </w:rPr>
        <w:footnoteReference w:id="3"/>
      </w:r>
      <w:r w:rsidRPr="009079BF">
        <w:t>,</w:t>
      </w:r>
    </w:p>
    <w:p w14:paraId="01FB8802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l-Ftehim Interistituzzjonali tas-16 ta’ Diċembru 2020 bejn il-Parlament Ewropew, il-Kunsill u l-Kummissjoni dwar dixxiplina baġitarja, dwar kooperazzjoni f’materji baġitarji u dwar ġestjoni finanzjarja tajba, kif ukoll dwar riżorsi proprji ġodda, inkluż pjan direzzjonali lejn l-introduzzjoni ta’ riżorsi proprja ġodda</w:t>
      </w:r>
      <w:r w:rsidRPr="009079BF">
        <w:rPr>
          <w:rStyle w:val="FootnoteReference"/>
        </w:rPr>
        <w:footnoteReference w:id="4"/>
      </w:r>
      <w:r w:rsidRPr="009079BF">
        <w:t>,</w:t>
      </w:r>
    </w:p>
    <w:p w14:paraId="299D5F23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 xml:space="preserve">wara li kkunsidra d-Deċiżjoni tal-Kunsill (UE, Euratom) 2020/2053 tal-14 ta’ Diċembru 2020 dwar is-sistema tar-riżorsi proprji tal-Unjoni Ewropea u li tħassar id-Deċiżjoni </w:t>
      </w:r>
      <w:r w:rsidRPr="009079BF">
        <w:lastRenderedPageBreak/>
        <w:t>2014/335/UE, Euratom</w:t>
      </w:r>
      <w:r w:rsidRPr="009079BF">
        <w:rPr>
          <w:rStyle w:val="FootnoteReference"/>
        </w:rPr>
        <w:footnoteReference w:id="5"/>
      </w:r>
      <w:r w:rsidRPr="009079BF">
        <w:t>,</w:t>
      </w:r>
    </w:p>
    <w:p w14:paraId="15579437" w14:textId="166C15F8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l-abbozz ta’ baġit emendatorju Nru 2/2025 adottat mill-Kummissjoni fl-4 ta’ Lulju 2025 (COM(20</w:t>
      </w:r>
      <w:r w:rsidR="007027EF">
        <w:t>2</w:t>
      </w:r>
      <w:r w:rsidRPr="009079BF">
        <w:t>5)0410),</w:t>
      </w:r>
    </w:p>
    <w:p w14:paraId="5BDDCBEF" w14:textId="76B2FE74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l-pożizzjoni dwar l-abbozz ta’ baġit emendatorju Nru 2/2025, adottata mill-Kunsill fis-16 ta’ Settembru 2025 u li ntbagħtet lill-Parlament Ewropew fis-17 ta’ Settembru 2025 (12353/2025 – C10</w:t>
      </w:r>
      <w:r w:rsidRPr="009079BF">
        <w:noBreakHyphen/>
        <w:t>0209/20</w:t>
      </w:r>
      <w:r w:rsidR="007027EF">
        <w:t>2</w:t>
      </w:r>
      <w:r w:rsidRPr="009079BF">
        <w:t>5),</w:t>
      </w:r>
    </w:p>
    <w:p w14:paraId="66E57460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l-Artikoli 96 u 98 tar-Regoli ta’ Proċedura tiegħu,</w:t>
      </w:r>
    </w:p>
    <w:p w14:paraId="0BAE7DF1" w14:textId="77777777" w:rsidR="00900439" w:rsidRPr="009079BF" w:rsidRDefault="00900439" w:rsidP="00900439">
      <w:pPr>
        <w:pStyle w:val="NormalHanging12a"/>
      </w:pPr>
      <w:r w:rsidRPr="009079BF">
        <w:t>–</w:t>
      </w:r>
      <w:r w:rsidRPr="009079BF">
        <w:tab/>
        <w:t>wara li kkunsidra r-rapport tal-Kumitat għall-Baġits (A10-0165/2025),</w:t>
      </w:r>
    </w:p>
    <w:p w14:paraId="40222BB7" w14:textId="77777777" w:rsidR="00900439" w:rsidRPr="009079BF" w:rsidRDefault="00900439" w:rsidP="00900439">
      <w:pPr>
        <w:pStyle w:val="NormalHanging12a"/>
      </w:pPr>
      <w:r w:rsidRPr="009079BF">
        <w:t>A.</w:t>
      </w:r>
      <w:r w:rsidRPr="009079BF">
        <w:tab/>
        <w:t>billi l-iskop tal-abbozz ta’ baġit emendatorju Nru 2/2025 huwa li jaġġorna n-naħa tad-dħul tal-baġit biex jitqiesu l-aħħar żviluppi u, barra minn hekk, li jaġġusta n-naħa tan-nefqa tal-baġit fir-rigward ta’ għadd ta’ partiti tan-nefqa,</w:t>
      </w:r>
    </w:p>
    <w:p w14:paraId="79F3E8EA" w14:textId="77777777" w:rsidR="00900439" w:rsidRPr="009079BF" w:rsidRDefault="00900439" w:rsidP="00900439">
      <w:pPr>
        <w:pStyle w:val="NormalHanging12a"/>
      </w:pPr>
      <w:r w:rsidRPr="009079BF">
        <w:t>B.</w:t>
      </w:r>
      <w:r w:rsidRPr="009079BF">
        <w:tab/>
        <w:t xml:space="preserve">billi l-abbozz ta’ baġit emendatorju Nru 2/2025 jinvolvi reviżjoni tal-previżjonijiet tar-riżorsi proprji fir-rigward tad-dazji doganali, li huma 1 % anqas mill-previżjoni ta’ Mejju 2024, fir-rigward tal-bażi tal-VAT limitata, li hija 2,4 % anqas mill-previżjoni ta’ Mejju 2024, fir-rigward tal-iskart mhux </w:t>
      </w:r>
      <w:proofErr w:type="spellStart"/>
      <w:r w:rsidRPr="009079BF">
        <w:t>irriċiklat</w:t>
      </w:r>
      <w:proofErr w:type="spellEnd"/>
      <w:r w:rsidRPr="009079BF">
        <w:t xml:space="preserve"> mill-imballaġġ tal-plastik, li huwa 3,5 % anqas meta mqabbel mal-previżjoni ta’ Mejju 2024, u fir-rigward tal-bażi totali tal-ING tal-UE, li hija 0,5 % ogħla mill-previżjoni ta’ Mejju 2024,</w:t>
      </w:r>
    </w:p>
    <w:p w14:paraId="1D3B4641" w14:textId="77777777" w:rsidR="00900439" w:rsidRPr="009079BF" w:rsidRDefault="00900439" w:rsidP="00900439">
      <w:pPr>
        <w:pStyle w:val="NormalHanging12a"/>
      </w:pPr>
      <w:r w:rsidRPr="009079BF">
        <w:t>C.</w:t>
      </w:r>
      <w:r w:rsidRPr="009079BF">
        <w:tab/>
        <w:t>billi l-abbozz ta’ baġit emendatorju Nru 2/2025 jaġġorna wkoll il-kontribuzzjoni tar-Renju Unit għall-2025 skont il-ftehim dwar il-ħruġ, liema kontribuzzjoni tammonta għal EUR 1,53 biljun, tnaqqis żgħir ta’ EUR 25 miljun meta mqabbel mal-istima inkluża fil-baġit tal-2025;</w:t>
      </w:r>
    </w:p>
    <w:p w14:paraId="0602FF2A" w14:textId="77777777" w:rsidR="00900439" w:rsidRPr="009079BF" w:rsidRDefault="00900439" w:rsidP="00900439">
      <w:pPr>
        <w:pStyle w:val="NormalHanging12a"/>
      </w:pPr>
      <w:r w:rsidRPr="009079BF">
        <w:t>D.</w:t>
      </w:r>
      <w:r w:rsidRPr="009079BF">
        <w:tab/>
        <w:t>billi l-abbozz ta’ baġit emendatorju Nru 2/2025 iqis ukoll il-multi, il-penali ta’ ksur u r-</w:t>
      </w:r>
      <w:proofErr w:type="spellStart"/>
      <w:r w:rsidRPr="009079BF">
        <w:t>redditi</w:t>
      </w:r>
      <w:proofErr w:type="spellEnd"/>
      <w:r w:rsidRPr="009079BF">
        <w:t xml:space="preserve"> negattivi msarrfa sal-aħħar ta’ Mejju 2025, li jżid il-previżjoni inizjali għall-multi u l-penali fil-baġit tal-2025 b’EUR 291 miljun,</w:t>
      </w:r>
    </w:p>
    <w:p w14:paraId="3C038FAD" w14:textId="77777777" w:rsidR="00900439" w:rsidRPr="009079BF" w:rsidRDefault="00900439" w:rsidP="00900439">
      <w:pPr>
        <w:pStyle w:val="NormalHanging12a"/>
      </w:pPr>
      <w:r w:rsidRPr="009079BF">
        <w:t>E.</w:t>
      </w:r>
      <w:r w:rsidRPr="009079BF">
        <w:tab/>
        <w:t>billi, min-naħa tan-nefqa, l-abbozz ta’ baġit emendatorju Nru 2/2025 jipproponi għadd ta’ aġġornamenti tal-approprjazzjonijiet ta’ impenn u ta’ pagament, b’mod l-aktar prominenti tisħiħ ta’ EUR 3,5 biljun f’pagamenti għall-Fond Agrikolu Ewropew għall-Iżvilupp Rurali (FAEŻR),</w:t>
      </w:r>
    </w:p>
    <w:p w14:paraId="6FABBA22" w14:textId="77777777" w:rsidR="00900439" w:rsidRPr="009079BF" w:rsidRDefault="00900439" w:rsidP="00900439">
      <w:pPr>
        <w:pStyle w:val="NormalHanging12a"/>
      </w:pPr>
      <w:r w:rsidRPr="009079BF">
        <w:t>1.</w:t>
      </w:r>
      <w:r w:rsidRPr="009079BF">
        <w:tab/>
        <w:t>Jieħu nota tal-abbozz ta’ baġit emendatorju Nru 2/2025, kif imressaq mill-Kummissjoni;</w:t>
      </w:r>
    </w:p>
    <w:p w14:paraId="2A10A5D6" w14:textId="77777777" w:rsidR="00900439" w:rsidRPr="009079BF" w:rsidRDefault="00900439" w:rsidP="00900439">
      <w:pPr>
        <w:pStyle w:val="NormalHanging12a"/>
      </w:pPr>
      <w:r w:rsidRPr="009079BF">
        <w:t>2.</w:t>
      </w:r>
      <w:r w:rsidRPr="009079BF">
        <w:tab/>
        <w:t>Jieħu nota li t-tnaqqis fl-ammont ta’ riżorsi proprji għajr l-ING u l-ħtiġijiet ta’ pagament addizzjonali min-naħa tan-nefqa jirriżultaw fi ħtieġa globali akbar fil-kontribuzzjonijiet tal-ING ta’ EUR 4,3 biljun; jirrikonoxxi li dan jimplika modifika tar-rata uniformi ta’ ġbir tal-ING minn 0,527 % (fl-ABE 1/2025) għal 0,547 % fl-ABE 2/2025;</w:t>
      </w:r>
    </w:p>
    <w:p w14:paraId="5BB6C367" w14:textId="0E6A1C9B" w:rsidR="00900439" w:rsidRPr="009079BF" w:rsidRDefault="00900439" w:rsidP="00900439">
      <w:pPr>
        <w:pStyle w:val="NormalHanging12a"/>
      </w:pPr>
      <w:r w:rsidRPr="009079BF">
        <w:t>3.</w:t>
      </w:r>
      <w:r w:rsidRPr="009079BF">
        <w:tab/>
        <w:t>Jissottolinja li, bl-abbozz ta’ baġit emendatorju Nru 2/2025, it-tnaqqis ta’ somma f’daqqa tal-ING għall-ħames Stati Membri benefiċjarji jammonta għal ftit anqas minn EUR 9,2 biljun (</w:t>
      </w:r>
      <w:proofErr w:type="spellStart"/>
      <w:r w:rsidRPr="009079BF">
        <w:t>gross</w:t>
      </w:r>
      <w:proofErr w:type="spellEnd"/>
      <w:r w:rsidRPr="009079BF">
        <w:t>); jisħaq li dawn ir-</w:t>
      </w:r>
      <w:proofErr w:type="spellStart"/>
      <w:r w:rsidRPr="009079BF">
        <w:t>ribassi</w:t>
      </w:r>
      <w:proofErr w:type="spellEnd"/>
      <w:r w:rsidRPr="009079BF">
        <w:t xml:space="preserve"> huma marbuta mal-inflazzjoni u għalhekk żdiedu b’rata ogħla mil-limiti massimi tal-</w:t>
      </w:r>
      <w:r w:rsidR="00662EC8" w:rsidRPr="00662EC8">
        <w:t>qafas finanzjarju pluriennali</w:t>
      </w:r>
      <w:r w:rsidR="00662EC8">
        <w:t xml:space="preserve"> (</w:t>
      </w:r>
      <w:r w:rsidRPr="009079BF">
        <w:t>QFP</w:t>
      </w:r>
      <w:r w:rsidR="00662EC8">
        <w:t>)</w:t>
      </w:r>
      <w:r w:rsidRPr="009079BF">
        <w:t>, liema limiti jiġu aġġustati kull sena abbażi tad-</w:t>
      </w:r>
      <w:proofErr w:type="spellStart"/>
      <w:r w:rsidRPr="009079BF">
        <w:t>deflatur</w:t>
      </w:r>
      <w:proofErr w:type="spellEnd"/>
      <w:r w:rsidRPr="009079BF">
        <w:t xml:space="preserve"> ta’ 2 %; jenfasizza li l-baġit tal-</w:t>
      </w:r>
      <w:r w:rsidRPr="009079BF">
        <w:lastRenderedPageBreak/>
        <w:t>Unjoni tqiegħed taħt tensjoni konsiderevoli biex jirrispondi għal diversi kriżijiet f’dawn l-aħħar ftit snin; jissottolinja li din l-anomalija fir-rigward tar-</w:t>
      </w:r>
      <w:proofErr w:type="spellStart"/>
      <w:r w:rsidRPr="009079BF">
        <w:t>ribassi</w:t>
      </w:r>
      <w:proofErr w:type="spellEnd"/>
      <w:r w:rsidRPr="009079BF">
        <w:t xml:space="preserve"> żżid il-piż fuq l-Istati Membri l-oħra;</w:t>
      </w:r>
    </w:p>
    <w:p w14:paraId="0D733D42" w14:textId="77777777" w:rsidR="00900439" w:rsidRPr="009079BF" w:rsidRDefault="00900439" w:rsidP="00900439">
      <w:pPr>
        <w:pStyle w:val="NormalHanging12a"/>
      </w:pPr>
      <w:r w:rsidRPr="009079BF">
        <w:t>4.</w:t>
      </w:r>
      <w:r w:rsidRPr="009079BF">
        <w:tab/>
        <w:t>Jilqa’ l-isforzi l-ġodda tal-Kummissjoni biex tippreżenta aktar għażliet għal sorsi ġodda ta’ dħul għall-baġit tal-Unjoni; f’dan ir-rigward, jieħu nota tal-proposta tal-Kummissjoni għal Deċiżjoni tal-Kunsill dwar is-sistema tar-riżorsi proprji tal-Unjoni Ewropea tas-16 ta’ Lulju 2025; iqis li l-adozzjoni rapida ta’ riżorsi proprji ġodda hija meħtieġa sabiex jiżdiedu r-riżorsi disponibbli għall-baġit; jisħaq li riżorsi proprji ġodda jridu jkunu ġusti u huma essenzjali mhux biss biex jippermettu l-ħlas lura tas-self tan-</w:t>
      </w:r>
      <w:proofErr w:type="spellStart"/>
      <w:r w:rsidRPr="009079BF">
        <w:t>Next</w:t>
      </w:r>
      <w:proofErr w:type="spellEnd"/>
      <w:r w:rsidRPr="009079BF">
        <w:t xml:space="preserve"> </w:t>
      </w:r>
      <w:proofErr w:type="spellStart"/>
      <w:r w:rsidRPr="009079BF">
        <w:t>Generation</w:t>
      </w:r>
      <w:proofErr w:type="spellEnd"/>
      <w:r w:rsidRPr="009079BF">
        <w:t xml:space="preserve"> EU, iżda biex jiġi żgurat li l-Unjoni tkun mgħammra biex tkopri l-ħtiġijiet ta’ nfiq akbar tagħha; f’dan il-kuntest, ifakkar fil-pożizzjoni li ilu jħaddan li l-gwadann </w:t>
      </w:r>
      <w:proofErr w:type="spellStart"/>
      <w:r w:rsidRPr="009079BF">
        <w:t>imprevist</w:t>
      </w:r>
      <w:proofErr w:type="spellEnd"/>
      <w:r w:rsidRPr="009079BF">
        <w:t xml:space="preserve"> li jirriżulta minn multi u penali, jew ammonti ekwivalenti, għandu jintuża bħala dħul supplimentari għall-baġit tal-Unjoni għal skopijiet ta’ rispons għall-kriżijiet jew ħtiġijiet mhux mistennija u ma għandux iwassal għal tnaqqis korrispondenti fil-kontribuzzjonijiet ibbażati fuq l-ING; jisħaq li, fil-QFP attwali, ammonti bħal dawn “jingħataw lura” lill-Istati Membri;</w:t>
      </w:r>
    </w:p>
    <w:p w14:paraId="1901C39A" w14:textId="77777777" w:rsidR="00900439" w:rsidRPr="009079BF" w:rsidRDefault="00900439" w:rsidP="00900439">
      <w:pPr>
        <w:pStyle w:val="NormalHanging12a"/>
      </w:pPr>
      <w:r w:rsidRPr="009079BF">
        <w:t>5.</w:t>
      </w:r>
      <w:r w:rsidRPr="009079BF">
        <w:tab/>
        <w:t>Jissottolinja li t-</w:t>
      </w:r>
      <w:proofErr w:type="spellStart"/>
      <w:r w:rsidRPr="009079BF">
        <w:t>tagħlimiet</w:t>
      </w:r>
      <w:proofErr w:type="spellEnd"/>
      <w:r w:rsidRPr="009079BF">
        <w:t xml:space="preserve"> mill-kriżijiet reċenti – il-pandemija, ix-xokkijiet tal-enerġija, u l-gwerra fl-Ukrajna – jirrikjedu riflessjoni serja dwar il-flessibbiltà fil-QFP li jmiss; itenni l-pożizzjoni tiegħu li l-Istrument ta’ Flessibbiltà futur għandu jiġi </w:t>
      </w:r>
      <w:proofErr w:type="spellStart"/>
      <w:r w:rsidRPr="009079BF">
        <w:t>alimentat</w:t>
      </w:r>
      <w:proofErr w:type="spellEnd"/>
      <w:r w:rsidRPr="009079BF">
        <w:t xml:space="preserve"> minn għadd ta’ sorsi addizzjonali ta’ finanzjament, inkluż is-surplus annwali mis-sena preċedenti, multi u </w:t>
      </w:r>
      <w:proofErr w:type="spellStart"/>
      <w:r w:rsidRPr="009079BF">
        <w:t>rimborżi</w:t>
      </w:r>
      <w:proofErr w:type="spellEnd"/>
      <w:r w:rsidRPr="009079BF">
        <w:t>; jieħu nota tad-dispożizzjonijiet rilevanti fir-Regolament QFP propost, fejn il-Kummissjoni tipproponi li żżid ċerti ammonti mal-Istrument ta’ Flessibbiltà, f’konformità mat-talbiet li ilhom isiru mill-Parlament; ifakkar, madankollu, li l-flessibbiltà m’għandhiex issir għad-detriment tat-trasparenza;</w:t>
      </w:r>
    </w:p>
    <w:p w14:paraId="73B9AE61" w14:textId="77777777" w:rsidR="00900439" w:rsidRPr="009079BF" w:rsidRDefault="00900439" w:rsidP="00900439">
      <w:pPr>
        <w:pStyle w:val="NormalHanging12a"/>
      </w:pPr>
      <w:r w:rsidRPr="009079BF">
        <w:t>6.</w:t>
      </w:r>
      <w:r w:rsidRPr="009079BF">
        <w:tab/>
        <w:t xml:space="preserve">Jilqa’ l-aġġustamenti </w:t>
      </w:r>
      <w:proofErr w:type="spellStart"/>
      <w:r w:rsidRPr="009079BF">
        <w:t>ʼl</w:t>
      </w:r>
      <w:proofErr w:type="spellEnd"/>
      <w:r w:rsidRPr="009079BF">
        <w:t xml:space="preserve"> fuq għall-approprjazzjonijiet ta’ pagament għall-Fond għall-Iżvilupp Rurali, li jindikaw li l-implimentazzjoni tal-pjanijiet strateġiċi tal-PAK 2023–2027 kif ukoll l-interventi fl-ambitu tal-programmi 2014–2020 qed jaċċelleraw u b’hekk qed inaqqsu d-dewmien fis-snin baġitarji preċedenti;</w:t>
      </w:r>
    </w:p>
    <w:p w14:paraId="3563AB5C" w14:textId="77777777" w:rsidR="00900439" w:rsidRPr="009079BF" w:rsidRDefault="00900439" w:rsidP="00900439">
      <w:pPr>
        <w:pStyle w:val="NormalHanging12a"/>
      </w:pPr>
      <w:r w:rsidRPr="009079BF">
        <w:t>7.</w:t>
      </w:r>
      <w:r w:rsidRPr="009079BF">
        <w:tab/>
        <w:t>Ifaħħar it-titjib li qed isir fil-qasam tal-mekkaniżmu ta’ aġġustament tal-karbonju fil-fruntieri (CBAM), iżda jistaqsi għaliex simplifikazzjoni fir-Regolament CBAM għandha tinvolvi żieda fil-ħtiġijiet ta’ madwar EUR 8 miljun, pjuttost milli tnaqqis minħabba titjib fl-effiċjenza;</w:t>
      </w:r>
    </w:p>
    <w:p w14:paraId="4BB1C675" w14:textId="77777777" w:rsidR="00900439" w:rsidRPr="009079BF" w:rsidRDefault="00900439" w:rsidP="00900439">
      <w:pPr>
        <w:pStyle w:val="NormalHanging12a"/>
      </w:pPr>
      <w:r w:rsidRPr="009079BF">
        <w:t>8.</w:t>
      </w:r>
      <w:r w:rsidRPr="009079BF">
        <w:tab/>
        <w:t>Iqis ukoll ta’ dubju l-fatt li l-ħtiġijiet addizzjonali għas-sistema doganali ċentralizzata fl-</w:t>
      </w:r>
      <w:proofErr w:type="spellStart"/>
      <w:r w:rsidRPr="009079BF">
        <w:t>Intestatura</w:t>
      </w:r>
      <w:proofErr w:type="spellEnd"/>
      <w:r w:rsidRPr="009079BF">
        <w:t xml:space="preserve"> 1 u għal CBAM fl-</w:t>
      </w:r>
      <w:proofErr w:type="spellStart"/>
      <w:r w:rsidRPr="009079BF">
        <w:t>Intestatura</w:t>
      </w:r>
      <w:proofErr w:type="spellEnd"/>
      <w:r w:rsidRPr="009079BF">
        <w:t xml:space="preserve"> 3 jiġu kkumpensati bi tnaqqis proporzjonat tal-allokazzjonijiet fl-ambitu tal-Istrument għat-Tagħmir ta’ Kontroll Doganali fl-</w:t>
      </w:r>
      <w:proofErr w:type="spellStart"/>
      <w:r w:rsidRPr="009079BF">
        <w:t>Intestatura</w:t>
      </w:r>
      <w:proofErr w:type="spellEnd"/>
      <w:r w:rsidRPr="009079BF">
        <w:t xml:space="preserve"> 4; jiddispjaċih li s-sitwazzjoni baġitarja attwali wasslet lill-Kummissjoni biex </w:t>
      </w:r>
      <w:proofErr w:type="spellStart"/>
      <w:r w:rsidRPr="009079BF">
        <w:t>tirrialloka</w:t>
      </w:r>
      <w:proofErr w:type="spellEnd"/>
      <w:r w:rsidRPr="009079BF">
        <w:t xml:space="preserve"> fondi sinifikanti fl-</w:t>
      </w:r>
      <w:proofErr w:type="spellStart"/>
      <w:r w:rsidRPr="009079BF">
        <w:t>Intestaturi</w:t>
      </w:r>
      <w:proofErr w:type="spellEnd"/>
      <w:r w:rsidRPr="009079BF">
        <w:t xml:space="preserve"> kollha u jfakkar fil-pożizzjoni li ilu jħaddan li l-prijoritajiet, il-kompiti jew il-ħtiġijiet ta’ politika ġodda għandhom ikunu akkumpanjati minn flus ġodda; jisħaq bil-qawwa li r-</w:t>
      </w:r>
      <w:proofErr w:type="spellStart"/>
      <w:r w:rsidRPr="009079BF">
        <w:t>riallokazzjonijiet</w:t>
      </w:r>
      <w:proofErr w:type="spellEnd"/>
      <w:r w:rsidRPr="009079BF">
        <w:t xml:space="preserve"> rikorrenti mhumiex mod vijabbli biex jiġu ffinanzjati l-prijoritajiet tal-Unjoni peress li jagħmlu ħsara lill-investimenti u jipperikolaw it-twettiq tal-objettivi ta’ politika li jkun intlaħaq qbil dwarhom;</w:t>
      </w:r>
    </w:p>
    <w:p w14:paraId="7E174EC4" w14:textId="77777777" w:rsidR="00900439" w:rsidRPr="009079BF" w:rsidRDefault="00900439" w:rsidP="00900439">
      <w:pPr>
        <w:pStyle w:val="NormalHanging12a"/>
      </w:pPr>
      <w:r w:rsidRPr="009079BF">
        <w:t>9.</w:t>
      </w:r>
      <w:r w:rsidRPr="009079BF">
        <w:tab/>
        <w:t xml:space="preserve">Jenfasizza u jilqa’ l-fatt li xi modifiki fit-tabella tal-persunal għall-Awtorità tal-UE għall-Ġlieda Kontra l-Ħasil tal-Flus se jippermettu lil din l-aġenzija twettaq il-kompiti tagħha fil-ħin u b’mod effiċjenti; ifakkar li din l-istituzzjoni ewlenija għandha rwol </w:t>
      </w:r>
      <w:r w:rsidRPr="009079BF">
        <w:lastRenderedPageBreak/>
        <w:t xml:space="preserve">ċentrali fil-protezzjoni ta’ flus il-kontribwenti u ġiet </w:t>
      </w:r>
      <w:proofErr w:type="spellStart"/>
      <w:r w:rsidRPr="009079BF">
        <w:t>appoġġjata</w:t>
      </w:r>
      <w:proofErr w:type="spellEnd"/>
      <w:r w:rsidRPr="009079BF">
        <w:t xml:space="preserve"> bis-sħiħ mill-Parlament Ewropew;</w:t>
      </w:r>
    </w:p>
    <w:p w14:paraId="5F35B45B" w14:textId="77777777" w:rsidR="00900439" w:rsidRPr="009079BF" w:rsidRDefault="00900439" w:rsidP="00900439">
      <w:pPr>
        <w:pStyle w:val="NormalHanging12a"/>
      </w:pPr>
      <w:r w:rsidRPr="009079BF">
        <w:t>10.</w:t>
      </w:r>
      <w:r w:rsidRPr="009079BF">
        <w:tab/>
        <w:t>Jilqa’ l-progress li għamlet il-Bulgarija fir-rigward tal-introduzzjoni tal-Euro u jappoġġja bis-sħiħ mezzi addizzjonali biex il-bidla fil-munita tiġi akkumpanjata minn attivitajiet ta’ komunikazzjoni xierqa u mmirati; jirrikonoxxi li minħabba n-nuqqas ta’ marġni mhux allokat fl-</w:t>
      </w:r>
      <w:proofErr w:type="spellStart"/>
      <w:r w:rsidRPr="009079BF">
        <w:t>Intestatura</w:t>
      </w:r>
      <w:proofErr w:type="spellEnd"/>
      <w:r w:rsidRPr="009079BF">
        <w:t xml:space="preserve"> 2b, l-Istrument ta’ Flessibbiltà jrid jiġi </w:t>
      </w:r>
      <w:proofErr w:type="spellStart"/>
      <w:r w:rsidRPr="009079BF">
        <w:t>mobilizzat</w:t>
      </w:r>
      <w:proofErr w:type="spellEnd"/>
      <w:r w:rsidRPr="009079BF">
        <w:t xml:space="preserve"> għal dan l-għan;</w:t>
      </w:r>
    </w:p>
    <w:p w14:paraId="2A54EA57" w14:textId="77777777" w:rsidR="00900439" w:rsidRPr="009079BF" w:rsidRDefault="00900439" w:rsidP="00900439">
      <w:pPr>
        <w:pStyle w:val="NormalHanging12a"/>
      </w:pPr>
      <w:r w:rsidRPr="009079BF">
        <w:t>11.</w:t>
      </w:r>
      <w:r w:rsidRPr="009079BF">
        <w:tab/>
        <w:t>Japprova l-pożizzjoni tal-Kunsill dwar l-abbozz ta’ baġit emendatorju Nru 2/2025;</w:t>
      </w:r>
    </w:p>
    <w:p w14:paraId="16AED8EF" w14:textId="77777777" w:rsidR="00900439" w:rsidRPr="009079BF" w:rsidRDefault="00900439" w:rsidP="00900439">
      <w:pPr>
        <w:pStyle w:val="NormalHanging12a"/>
      </w:pPr>
      <w:r w:rsidRPr="009079BF">
        <w:t>12.</w:t>
      </w:r>
      <w:r w:rsidRPr="009079BF">
        <w:tab/>
        <w:t>Jagħti istruzzjonijiet lill-President tiegħu biex tiddikjara li l-baġit emendatorju Nru 2/2025 ġie adottat b’mod definittiv u biex tiżgura li jiġi ppubblikat f’</w:t>
      </w:r>
      <w:r w:rsidRPr="009079BF">
        <w:rPr>
          <w:i/>
        </w:rPr>
        <w:t>Il-Ġurnal Uffiċjali tal-Unjoni Ewropea</w:t>
      </w:r>
      <w:r w:rsidRPr="009079BF">
        <w:t>;</w:t>
      </w:r>
    </w:p>
    <w:p w14:paraId="5D7E55CB" w14:textId="5F87E669" w:rsidR="00E365E1" w:rsidRPr="009079BF" w:rsidRDefault="00900439" w:rsidP="00B611D6">
      <w:pPr>
        <w:ind w:left="567" w:hanging="567"/>
      </w:pPr>
      <w:r w:rsidRPr="009079BF">
        <w:t>13.</w:t>
      </w:r>
      <w:r w:rsidRPr="009079BF">
        <w:tab/>
        <w:t>Jagħti istruzzjonijiet lill-President tiegħu biex tgħaddi din ir-riżoluzzjoni lill-Kunsill, lill-Kummissjoni, lill-istituzzjonijiet l-oħra u lill-entitajiet ikkonċernati, kif ukoll lill-parlamenti nazzjonali.</w:t>
      </w:r>
    </w:p>
    <w:sectPr w:rsidR="00E365E1" w:rsidRPr="009079BF" w:rsidSect="009079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4760D" w14:textId="77777777" w:rsidR="00E55080" w:rsidRPr="009079BF" w:rsidRDefault="00E55080">
      <w:r w:rsidRPr="009079BF">
        <w:separator/>
      </w:r>
    </w:p>
  </w:endnote>
  <w:endnote w:type="continuationSeparator" w:id="0">
    <w:p w14:paraId="4434A778" w14:textId="77777777" w:rsidR="00E55080" w:rsidRPr="009079BF" w:rsidRDefault="00E55080">
      <w:r w:rsidRPr="009079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44EEA" w14:textId="77777777" w:rsidR="00064002" w:rsidRPr="009079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34EE4" w14:textId="77777777" w:rsidR="00064002" w:rsidRPr="009079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F66B2" w14:textId="77777777" w:rsidR="00064002" w:rsidRPr="009079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8BBB2" w14:textId="77777777" w:rsidR="00E55080" w:rsidRPr="009079BF" w:rsidRDefault="00E55080">
      <w:r w:rsidRPr="009079BF">
        <w:separator/>
      </w:r>
    </w:p>
  </w:footnote>
  <w:footnote w:type="continuationSeparator" w:id="0">
    <w:p w14:paraId="48C18EB4" w14:textId="77777777" w:rsidR="00E55080" w:rsidRPr="009079BF" w:rsidRDefault="00E55080">
      <w:r w:rsidRPr="009079BF">
        <w:continuationSeparator/>
      </w:r>
    </w:p>
  </w:footnote>
  <w:footnote w:id="1">
    <w:p w14:paraId="3EAAC9A4" w14:textId="393B80AA" w:rsidR="00900439" w:rsidRPr="009079BF" w:rsidRDefault="00900439" w:rsidP="009079BF">
      <w:pPr>
        <w:pStyle w:val="FootnoteText"/>
        <w:ind w:left="567" w:hanging="567"/>
        <w:rPr>
          <w:sz w:val="24"/>
          <w:lang w:val="mt-MT"/>
        </w:rPr>
      </w:pPr>
      <w:r w:rsidRPr="009079BF">
        <w:rPr>
          <w:rStyle w:val="FootnoteReference"/>
          <w:sz w:val="24"/>
          <w:lang w:val="mt-MT"/>
        </w:rPr>
        <w:footnoteRef/>
      </w:r>
      <w:r w:rsidR="009079BF" w:rsidRPr="009079BF">
        <w:rPr>
          <w:sz w:val="24"/>
          <w:lang w:val="mt-MT"/>
        </w:rPr>
        <w:t xml:space="preserve"> </w:t>
      </w:r>
      <w:r w:rsidR="009079BF" w:rsidRPr="009079BF">
        <w:rPr>
          <w:sz w:val="24"/>
          <w:lang w:val="mt-MT"/>
        </w:rPr>
        <w:tab/>
      </w:r>
      <w:r w:rsidRPr="009079BF">
        <w:rPr>
          <w:sz w:val="24"/>
          <w:lang w:val="mt-MT"/>
        </w:rPr>
        <w:t xml:space="preserve">ĠU L, 2024/2509, 26.9.2024, ELI: </w:t>
      </w:r>
      <w:hyperlink r:id="rId1" w:history="1">
        <w:r w:rsidRPr="009079BF">
          <w:rPr>
            <w:rStyle w:val="Hyperlink"/>
            <w:sz w:val="24"/>
            <w:lang w:val="mt-MT"/>
          </w:rPr>
          <w:t>http://data.europa.eu/eli/reg/2024/2509/oj</w:t>
        </w:r>
      </w:hyperlink>
      <w:r w:rsidRPr="009079BF">
        <w:rPr>
          <w:sz w:val="24"/>
          <w:lang w:val="mt-MT"/>
        </w:rPr>
        <w:t>.</w:t>
      </w:r>
    </w:p>
  </w:footnote>
  <w:footnote w:id="2">
    <w:p w14:paraId="390674F7" w14:textId="071A94EE" w:rsidR="00900439" w:rsidRPr="009079BF" w:rsidRDefault="00900439" w:rsidP="009079BF">
      <w:pPr>
        <w:pStyle w:val="FootnoteText"/>
        <w:ind w:left="567" w:hanging="567"/>
        <w:rPr>
          <w:rStyle w:val="Hyperlink"/>
          <w:sz w:val="24"/>
          <w:lang w:val="mt-MT"/>
        </w:rPr>
      </w:pPr>
      <w:r w:rsidRPr="009079BF">
        <w:rPr>
          <w:rStyle w:val="FootnoteReference"/>
          <w:sz w:val="24"/>
          <w:lang w:val="mt-MT"/>
        </w:rPr>
        <w:footnoteRef/>
      </w:r>
      <w:r w:rsidR="009079BF" w:rsidRPr="009079BF">
        <w:rPr>
          <w:sz w:val="24"/>
          <w:lang w:val="mt-MT"/>
        </w:rPr>
        <w:t xml:space="preserve"> </w:t>
      </w:r>
      <w:r w:rsidR="009079BF" w:rsidRPr="009079BF">
        <w:rPr>
          <w:sz w:val="24"/>
          <w:lang w:val="mt-MT"/>
        </w:rPr>
        <w:tab/>
      </w:r>
      <w:r w:rsidRPr="009079BF">
        <w:rPr>
          <w:sz w:val="24"/>
          <w:lang w:val="mt-MT"/>
        </w:rPr>
        <w:t xml:space="preserve">ĠU L, 2025/31, 27.2.2025, ELI: </w:t>
      </w:r>
      <w:hyperlink r:id="rId2" w:history="1">
        <w:r w:rsidRPr="009079BF">
          <w:rPr>
            <w:rStyle w:val="Hyperlink"/>
            <w:sz w:val="24"/>
            <w:lang w:val="mt-MT"/>
          </w:rPr>
          <w:t>http://data.europa.eu/eli/budget/2025/31/oj</w:t>
        </w:r>
      </w:hyperlink>
      <w:r w:rsidRPr="009079BF">
        <w:rPr>
          <w:rStyle w:val="Hyperlink"/>
          <w:sz w:val="24"/>
          <w:lang w:val="mt-MT"/>
        </w:rPr>
        <w:t>.</w:t>
      </w:r>
    </w:p>
  </w:footnote>
  <w:footnote w:id="3">
    <w:p w14:paraId="47C20025" w14:textId="465CE0C2" w:rsidR="00900439" w:rsidRPr="009079BF" w:rsidRDefault="00900439" w:rsidP="009079BF">
      <w:pPr>
        <w:pStyle w:val="FootnoteText"/>
        <w:ind w:left="567" w:hanging="567"/>
        <w:rPr>
          <w:rStyle w:val="Hyperlink"/>
          <w:sz w:val="24"/>
          <w:lang w:val="mt-MT"/>
        </w:rPr>
      </w:pPr>
      <w:r w:rsidRPr="009079BF">
        <w:rPr>
          <w:rStyle w:val="FootnoteReference"/>
          <w:sz w:val="24"/>
          <w:lang w:val="mt-MT"/>
        </w:rPr>
        <w:footnoteRef/>
      </w:r>
      <w:r w:rsidR="009079BF" w:rsidRPr="009079BF">
        <w:rPr>
          <w:sz w:val="24"/>
          <w:lang w:val="mt-MT"/>
        </w:rPr>
        <w:t xml:space="preserve"> </w:t>
      </w:r>
      <w:r w:rsidR="009079BF" w:rsidRPr="009079BF">
        <w:rPr>
          <w:sz w:val="24"/>
          <w:lang w:val="mt-MT"/>
        </w:rPr>
        <w:tab/>
      </w:r>
      <w:r w:rsidRPr="009079BF">
        <w:rPr>
          <w:sz w:val="24"/>
          <w:lang w:val="mt-MT"/>
        </w:rPr>
        <w:t xml:space="preserve">ĠU L 433 I, 22.12.2020, p. </w:t>
      </w:r>
      <w:r w:rsidRPr="009079BF">
        <w:rPr>
          <w:sz w:val="24"/>
          <w:lang w:val="mt-MT"/>
        </w:rPr>
        <w:t xml:space="preserve">11, ELI: </w:t>
      </w:r>
      <w:hyperlink r:id="rId3" w:history="1">
        <w:r w:rsidRPr="009079BF">
          <w:rPr>
            <w:rStyle w:val="Hyperlink"/>
            <w:sz w:val="24"/>
            <w:lang w:val="mt-MT"/>
          </w:rPr>
          <w:t>http://data.europa.eu/eli/reg/2020/433/oj</w:t>
        </w:r>
      </w:hyperlink>
      <w:r w:rsidRPr="009079BF">
        <w:rPr>
          <w:rStyle w:val="Hyperlink"/>
          <w:sz w:val="24"/>
          <w:lang w:val="mt-MT"/>
        </w:rPr>
        <w:t>.</w:t>
      </w:r>
    </w:p>
  </w:footnote>
  <w:footnote w:id="4">
    <w:p w14:paraId="788C722A" w14:textId="24903B1D" w:rsidR="00900439" w:rsidRPr="009079BF" w:rsidRDefault="00900439" w:rsidP="009079BF">
      <w:pPr>
        <w:pStyle w:val="FootnoteText"/>
        <w:ind w:left="567" w:hanging="567"/>
        <w:rPr>
          <w:sz w:val="24"/>
          <w:lang w:val="mt-MT"/>
        </w:rPr>
      </w:pPr>
      <w:r w:rsidRPr="009079BF">
        <w:rPr>
          <w:rStyle w:val="FootnoteReference"/>
          <w:sz w:val="24"/>
          <w:lang w:val="mt-MT"/>
        </w:rPr>
        <w:footnoteRef/>
      </w:r>
      <w:r w:rsidR="009079BF" w:rsidRPr="009079BF">
        <w:rPr>
          <w:sz w:val="24"/>
          <w:lang w:val="mt-MT"/>
        </w:rPr>
        <w:t xml:space="preserve"> </w:t>
      </w:r>
      <w:r w:rsidR="009079BF" w:rsidRPr="009079BF">
        <w:rPr>
          <w:sz w:val="24"/>
          <w:lang w:val="mt-MT"/>
        </w:rPr>
        <w:tab/>
      </w:r>
      <w:r w:rsidRPr="009079BF">
        <w:rPr>
          <w:sz w:val="24"/>
          <w:lang w:val="mt-MT"/>
        </w:rPr>
        <w:t xml:space="preserve">ĠU L 433 I, 22.12.2020, p. </w:t>
      </w:r>
      <w:r w:rsidRPr="009079BF">
        <w:rPr>
          <w:sz w:val="24"/>
          <w:lang w:val="mt-MT"/>
        </w:rPr>
        <w:t xml:space="preserve">28, ELI: </w:t>
      </w:r>
      <w:hyperlink r:id="rId4" w:history="1">
        <w:r w:rsidRPr="009079BF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9079BF">
        <w:rPr>
          <w:rStyle w:val="Hyperlink"/>
          <w:sz w:val="24"/>
          <w:lang w:val="mt-MT"/>
        </w:rPr>
        <w:t>.</w:t>
      </w:r>
    </w:p>
  </w:footnote>
  <w:footnote w:id="5">
    <w:p w14:paraId="3F04B696" w14:textId="320143A7" w:rsidR="00900439" w:rsidRPr="009079BF" w:rsidRDefault="00900439" w:rsidP="009079BF">
      <w:pPr>
        <w:pStyle w:val="FootnoteText"/>
        <w:ind w:left="567" w:hanging="567"/>
        <w:rPr>
          <w:sz w:val="24"/>
          <w:lang w:val="mt-MT"/>
        </w:rPr>
      </w:pPr>
      <w:r w:rsidRPr="009079BF">
        <w:rPr>
          <w:rStyle w:val="FootnoteReference"/>
          <w:sz w:val="24"/>
          <w:lang w:val="mt-MT"/>
        </w:rPr>
        <w:footnoteRef/>
      </w:r>
      <w:r w:rsidR="009079BF" w:rsidRPr="009079BF">
        <w:rPr>
          <w:sz w:val="24"/>
          <w:lang w:val="mt-MT"/>
        </w:rPr>
        <w:t xml:space="preserve"> </w:t>
      </w:r>
      <w:r w:rsidR="009079BF" w:rsidRPr="009079BF">
        <w:rPr>
          <w:sz w:val="24"/>
          <w:lang w:val="mt-MT"/>
        </w:rPr>
        <w:tab/>
      </w:r>
      <w:r w:rsidRPr="009079BF">
        <w:rPr>
          <w:sz w:val="24"/>
          <w:lang w:val="mt-MT"/>
        </w:rPr>
        <w:t xml:space="preserve">ĠU L 424, 15.12.2020, p. </w:t>
      </w:r>
      <w:r w:rsidRPr="009079BF">
        <w:rPr>
          <w:sz w:val="24"/>
          <w:lang w:val="mt-MT"/>
        </w:rPr>
        <w:t xml:space="preserve">1, ELI: </w:t>
      </w:r>
      <w:hyperlink r:id="rId5" w:history="1">
        <w:r w:rsidRPr="009079BF">
          <w:rPr>
            <w:rStyle w:val="Hyperlink"/>
            <w:sz w:val="24"/>
            <w:lang w:val="mt-MT"/>
          </w:rPr>
          <w:t>http://data.europa.eu/eli/dec/2020/2053/oj</w:t>
        </w:r>
      </w:hyperlink>
      <w:r w:rsidRPr="009079BF">
        <w:rPr>
          <w:rStyle w:val="Hyperlink"/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7513A" w14:textId="77777777" w:rsidR="00064002" w:rsidRPr="009079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A7F1" w14:textId="77777777" w:rsidR="00064002" w:rsidRPr="009079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6F6F" w14:textId="77777777" w:rsidR="00064002" w:rsidRPr="009079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348342">
    <w:abstractNumId w:val="9"/>
  </w:num>
  <w:num w:numId="2" w16cid:durableId="1048602603">
    <w:abstractNumId w:val="9"/>
  </w:num>
  <w:num w:numId="3" w16cid:durableId="1378318843">
    <w:abstractNumId w:val="7"/>
  </w:num>
  <w:num w:numId="4" w16cid:durableId="1830367131">
    <w:abstractNumId w:val="7"/>
  </w:num>
  <w:num w:numId="5" w16cid:durableId="927887445">
    <w:abstractNumId w:val="6"/>
  </w:num>
  <w:num w:numId="6" w16cid:durableId="1445466688">
    <w:abstractNumId w:val="6"/>
  </w:num>
  <w:num w:numId="7" w16cid:durableId="86923266">
    <w:abstractNumId w:val="5"/>
  </w:num>
  <w:num w:numId="8" w16cid:durableId="762261234">
    <w:abstractNumId w:val="5"/>
  </w:num>
  <w:num w:numId="9" w16cid:durableId="1067806838">
    <w:abstractNumId w:val="4"/>
  </w:num>
  <w:num w:numId="10" w16cid:durableId="1381977040">
    <w:abstractNumId w:val="4"/>
  </w:num>
  <w:num w:numId="11" w16cid:durableId="540749008">
    <w:abstractNumId w:val="8"/>
  </w:num>
  <w:num w:numId="12" w16cid:durableId="1958872465">
    <w:abstractNumId w:val="8"/>
  </w:num>
  <w:num w:numId="13" w16cid:durableId="674847583">
    <w:abstractNumId w:val="3"/>
  </w:num>
  <w:num w:numId="14" w16cid:durableId="2009167022">
    <w:abstractNumId w:val="3"/>
  </w:num>
  <w:num w:numId="15" w16cid:durableId="445127865">
    <w:abstractNumId w:val="2"/>
  </w:num>
  <w:num w:numId="16" w16cid:durableId="1383365841">
    <w:abstractNumId w:val="2"/>
  </w:num>
  <w:num w:numId="17" w16cid:durableId="1577593930">
    <w:abstractNumId w:val="1"/>
  </w:num>
  <w:num w:numId="18" w16cid:durableId="447166994">
    <w:abstractNumId w:val="1"/>
  </w:num>
  <w:num w:numId="19" w16cid:durableId="1009991641">
    <w:abstractNumId w:val="0"/>
  </w:num>
  <w:num w:numId="20" w16cid:durableId="1938975656">
    <w:abstractNumId w:val="0"/>
  </w:num>
  <w:num w:numId="21" w16cid:durableId="1483543743">
    <w:abstractNumId w:val="9"/>
  </w:num>
  <w:num w:numId="22" w16cid:durableId="245694943">
    <w:abstractNumId w:val="7"/>
  </w:num>
  <w:num w:numId="23" w16cid:durableId="898705939">
    <w:abstractNumId w:val="6"/>
  </w:num>
  <w:num w:numId="24" w16cid:durableId="246038266">
    <w:abstractNumId w:val="5"/>
  </w:num>
  <w:num w:numId="25" w16cid:durableId="509637428">
    <w:abstractNumId w:val="4"/>
  </w:num>
  <w:num w:numId="26" w16cid:durableId="1974167382">
    <w:abstractNumId w:val="8"/>
  </w:num>
  <w:num w:numId="27" w16cid:durableId="1127965651">
    <w:abstractNumId w:val="3"/>
  </w:num>
  <w:num w:numId="28" w16cid:durableId="252280765">
    <w:abstractNumId w:val="2"/>
  </w:num>
  <w:num w:numId="29" w16cid:durableId="1200320564">
    <w:abstractNumId w:val="1"/>
  </w:num>
  <w:num w:numId="30" w16cid:durableId="348070712">
    <w:abstractNumId w:val="0"/>
  </w:num>
  <w:num w:numId="31" w16cid:durableId="1925144812">
    <w:abstractNumId w:val="9"/>
  </w:num>
  <w:num w:numId="32" w16cid:durableId="984353172">
    <w:abstractNumId w:val="7"/>
  </w:num>
  <w:num w:numId="33" w16cid:durableId="2088262916">
    <w:abstractNumId w:val="6"/>
  </w:num>
  <w:num w:numId="34" w16cid:durableId="1658805550">
    <w:abstractNumId w:val="5"/>
  </w:num>
  <w:num w:numId="35" w16cid:durableId="1837308082">
    <w:abstractNumId w:val="4"/>
  </w:num>
  <w:num w:numId="36" w16cid:durableId="1757746014">
    <w:abstractNumId w:val="8"/>
  </w:num>
  <w:num w:numId="37" w16cid:durableId="801852614">
    <w:abstractNumId w:val="3"/>
  </w:num>
  <w:num w:numId="38" w16cid:durableId="1829708234">
    <w:abstractNumId w:val="2"/>
  </w:num>
  <w:num w:numId="39" w16cid:durableId="1997609524">
    <w:abstractNumId w:val="1"/>
  </w:num>
  <w:num w:numId="40" w16cid:durableId="1278022167">
    <w:abstractNumId w:val="0"/>
  </w:num>
  <w:num w:numId="41" w16cid:durableId="1837257225">
    <w:abstractNumId w:val="10"/>
  </w:num>
  <w:num w:numId="42" w16cid:durableId="403532519">
    <w:abstractNumId w:val="10"/>
  </w:num>
  <w:num w:numId="43" w16cid:durableId="461005040">
    <w:abstractNumId w:val="10"/>
  </w:num>
  <w:num w:numId="44" w16cid:durableId="20846433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5/2025"/>
    <w:docVar w:name="dvlangue" w:val="MT"/>
    <w:docVar w:name="dvnumam" w:val="0"/>
    <w:docVar w:name="dvpe" w:val="776.838"/>
    <w:docVar w:name="dvrapporteur" w:val="Rapporteur: "/>
    <w:docVar w:name="dvtitre" w:val="Riżoluzzjoni tal-Parlament Ewropew tat-8 ta' Ottubru 2025 dwar il-pożizzjoni tal-Kunsill dwar l-abbozz ta’ baġit emendatorju Nru 2/2025 tal-Unjoni Ewropea għas-sena finanzjarja 2025 – Aġġornament tad-dħul (riżorsi proprji) u aġġustamenti tan-nefqa(12353/2025 – C10-0209/2025 – 2025/0206(BUD))"/>
  </w:docVars>
  <w:rsids>
    <w:rsidRoot w:val="00E550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06C2"/>
    <w:rsid w:val="00343214"/>
    <w:rsid w:val="00361C00"/>
    <w:rsid w:val="00395FA1"/>
    <w:rsid w:val="003E15D4"/>
    <w:rsid w:val="00411CCE"/>
    <w:rsid w:val="0041666E"/>
    <w:rsid w:val="00421060"/>
    <w:rsid w:val="00424F51"/>
    <w:rsid w:val="00471C19"/>
    <w:rsid w:val="00475D4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2EC8"/>
    <w:rsid w:val="006631B6"/>
    <w:rsid w:val="00680577"/>
    <w:rsid w:val="006F74FA"/>
    <w:rsid w:val="007027E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F60"/>
    <w:rsid w:val="00865F67"/>
    <w:rsid w:val="00881A7B"/>
    <w:rsid w:val="008840E5"/>
    <w:rsid w:val="00887B3E"/>
    <w:rsid w:val="008C2AC6"/>
    <w:rsid w:val="00900439"/>
    <w:rsid w:val="009079B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1D6"/>
    <w:rsid w:val="00BD30D2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04DF"/>
    <w:rsid w:val="00D56C11"/>
    <w:rsid w:val="00D834A0"/>
    <w:rsid w:val="00D872DF"/>
    <w:rsid w:val="00D91E21"/>
    <w:rsid w:val="00DA7FCD"/>
    <w:rsid w:val="00E365E1"/>
    <w:rsid w:val="00E5508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4482A"/>
  <w15:chartTrackingRefBased/>
  <w15:docId w15:val="{78B074B2-3BE6-4A96-A691-8550F3FE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0439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90043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0043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00439"/>
    <w:rPr>
      <w:sz w:val="24"/>
      <w:lang w:val="mt-MT"/>
    </w:rPr>
  </w:style>
  <w:style w:type="paragraph" w:styleId="Revision">
    <w:name w:val="Revision"/>
    <w:hidden/>
    <w:uiPriority w:val="99"/>
    <w:semiHidden/>
    <w:rsid w:val="00662EC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8255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2025-12-15T09:20:00Z</dcterms:created>
  <dcterms:modified xsi:type="dcterms:W3CDTF">2025-12-15T09:20:00Z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P10_TA(2025)0218_</vt:lpwstr>
  </property>
  <property fmtid="{D5CDD505-2E9C-101B-9397-08002B2CF9AE}" pid="4" name="&lt;Type&gt;">
    <vt:lpwstr>RR</vt:lpwstr>
  </property>
</Properties>
</file>