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31F0" w14:paraId="7F77C9A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77804D" w14:textId="77777777" w:rsidR="00751A4A" w:rsidRPr="006A31F0" w:rsidRDefault="00A54D55" w:rsidP="0010095E">
            <w:pPr>
              <w:pStyle w:val="EPName"/>
            </w:pPr>
            <w:r w:rsidRPr="006A31F0">
              <w:t>Parlament Europejski</w:t>
            </w:r>
          </w:p>
          <w:p w14:paraId="5181C6E4" w14:textId="77777777" w:rsidR="00751A4A" w:rsidRPr="006A31F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31F0">
              <w:t>2024</w:t>
            </w:r>
            <w:r w:rsidR="00817416" w:rsidRPr="006A31F0">
              <w:t>-202</w:t>
            </w:r>
            <w:r w:rsidRPr="006A31F0">
              <w:t>9</w:t>
            </w:r>
          </w:p>
        </w:tc>
        <w:tc>
          <w:tcPr>
            <w:tcW w:w="2268" w:type="dxa"/>
            <w:shd w:val="clear" w:color="auto" w:fill="auto"/>
          </w:tcPr>
          <w:p w14:paraId="7AB7FD27" w14:textId="77777777" w:rsidR="00751A4A" w:rsidRPr="006A31F0" w:rsidRDefault="00187494" w:rsidP="0010095E">
            <w:pPr>
              <w:pStyle w:val="EPLogo"/>
            </w:pPr>
            <w:r w:rsidRPr="006A31F0">
              <w:rPr>
                <w:noProof/>
                <w:lang w:eastAsia="ja-JP"/>
              </w:rPr>
              <w:drawing>
                <wp:inline distT="0" distB="0" distL="0" distR="0" wp14:anchorId="411E860F" wp14:editId="4B09C0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13CFB" w14:textId="77777777" w:rsidR="00D058B8" w:rsidRPr="006A31F0" w:rsidRDefault="00D058B8" w:rsidP="004C5D52">
      <w:pPr>
        <w:pStyle w:val="LineTop"/>
      </w:pPr>
    </w:p>
    <w:p w14:paraId="460D2D25" w14:textId="77777777" w:rsidR="00680577" w:rsidRPr="006A31F0" w:rsidRDefault="00A54D55" w:rsidP="00680577">
      <w:pPr>
        <w:pStyle w:val="EPBodyTA1"/>
      </w:pPr>
      <w:r w:rsidRPr="006A31F0">
        <w:t>TEKSTY PRZYJĘTE</w:t>
      </w:r>
    </w:p>
    <w:p w14:paraId="0289B49E" w14:textId="77777777" w:rsidR="00D058B8" w:rsidRPr="006A31F0" w:rsidRDefault="00D058B8" w:rsidP="00D058B8">
      <w:pPr>
        <w:pStyle w:val="LineBottom"/>
      </w:pPr>
    </w:p>
    <w:p w14:paraId="77E2D282" w14:textId="6F378D60" w:rsidR="00A54D55" w:rsidRPr="006A31F0" w:rsidRDefault="00A54D55" w:rsidP="00A54D55">
      <w:pPr>
        <w:pStyle w:val="ATHeading1"/>
      </w:pPr>
      <w:bookmarkStart w:id="0" w:name="TANumber"/>
      <w:r w:rsidRPr="006A31F0">
        <w:t>P10_TA(2025)0</w:t>
      </w:r>
      <w:bookmarkEnd w:id="0"/>
      <w:r w:rsidR="007760EA">
        <w:t>218</w:t>
      </w:r>
    </w:p>
    <w:p w14:paraId="53B2BF83" w14:textId="262DFD2A" w:rsidR="00A54D55" w:rsidRPr="006A31F0" w:rsidRDefault="00A54D55" w:rsidP="00A54D55">
      <w:pPr>
        <w:pStyle w:val="ATHeading2"/>
      </w:pPr>
      <w:bookmarkStart w:id="1" w:name="title"/>
      <w:r w:rsidRPr="006A31F0">
        <w:t xml:space="preserve">Projekt budżetu korygującego nr </w:t>
      </w:r>
      <w:r w:rsidR="005A3A6A">
        <w:t>2</w:t>
      </w:r>
      <w:r w:rsidR="008F4ABD">
        <w:t>/</w:t>
      </w:r>
      <w:r w:rsidRPr="006A31F0">
        <w:t>2025</w:t>
      </w:r>
      <w:r w:rsidR="008F4ABD">
        <w:t>:</w:t>
      </w:r>
      <w:r w:rsidRPr="006A31F0">
        <w:t xml:space="preserve"> </w:t>
      </w:r>
      <w:r w:rsidR="008F4ABD">
        <w:t>a</w:t>
      </w:r>
      <w:r w:rsidRPr="006A31F0">
        <w:t>ktualizacja dochodów (zasoby własne) i dostosowania w wydatkach</w:t>
      </w:r>
      <w:bookmarkEnd w:id="1"/>
    </w:p>
    <w:p w14:paraId="0B69DFEE" w14:textId="77777777" w:rsidR="00A54D55" w:rsidRPr="006A31F0" w:rsidRDefault="00A54D55" w:rsidP="00A54D55">
      <w:pPr>
        <w:rPr>
          <w:i/>
          <w:vanish/>
        </w:rPr>
      </w:pPr>
      <w:r w:rsidRPr="006A31F0">
        <w:rPr>
          <w:i/>
        </w:rPr>
        <w:fldChar w:fldCharType="begin"/>
      </w:r>
      <w:r w:rsidRPr="006A31F0">
        <w:rPr>
          <w:i/>
        </w:rPr>
        <w:instrText xml:space="preserve"> TC"(</w:instrText>
      </w:r>
      <w:bookmarkStart w:id="2" w:name="DocNumber"/>
      <w:r w:rsidRPr="006A31F0">
        <w:rPr>
          <w:i/>
        </w:rPr>
        <w:instrText>A10-0165/2025</w:instrText>
      </w:r>
      <w:bookmarkEnd w:id="2"/>
      <w:r w:rsidRPr="006A31F0">
        <w:rPr>
          <w:i/>
        </w:rPr>
        <w:instrText xml:space="preserve"> - Sprawozdawca: Victor Negrescu)"\l3 \n&gt; \* MERGEFORMAT </w:instrText>
      </w:r>
      <w:r w:rsidRPr="006A31F0">
        <w:rPr>
          <w:i/>
        </w:rPr>
        <w:fldChar w:fldCharType="end"/>
      </w:r>
    </w:p>
    <w:p w14:paraId="77C0710B" w14:textId="77777777" w:rsidR="00A54D55" w:rsidRPr="006A31F0" w:rsidRDefault="00A54D55" w:rsidP="00A54D55">
      <w:pPr>
        <w:rPr>
          <w:vanish/>
        </w:rPr>
      </w:pPr>
      <w:bookmarkStart w:id="3" w:name="Commission"/>
      <w:r w:rsidRPr="006A31F0">
        <w:rPr>
          <w:vanish/>
        </w:rPr>
        <w:t>Komisja Budżetowa</w:t>
      </w:r>
      <w:bookmarkEnd w:id="3"/>
    </w:p>
    <w:p w14:paraId="2CBDAD0E" w14:textId="77777777" w:rsidR="00A54D55" w:rsidRPr="006A31F0" w:rsidRDefault="00A54D55" w:rsidP="00A54D55">
      <w:pPr>
        <w:rPr>
          <w:vanish/>
        </w:rPr>
      </w:pPr>
      <w:bookmarkStart w:id="4" w:name="PE"/>
      <w:r w:rsidRPr="006A31F0">
        <w:rPr>
          <w:vanish/>
        </w:rPr>
        <w:t>PE776.838</w:t>
      </w:r>
      <w:bookmarkEnd w:id="4"/>
    </w:p>
    <w:p w14:paraId="03A4C7E2" w14:textId="45B7B0E1" w:rsidR="00A54D55" w:rsidRPr="006A31F0" w:rsidRDefault="00A54D55" w:rsidP="00A54D55">
      <w:pPr>
        <w:pStyle w:val="ATHeading3"/>
      </w:pPr>
      <w:bookmarkStart w:id="5" w:name="Sujet"/>
      <w:r w:rsidRPr="006A31F0">
        <w:t xml:space="preserve">Rezolucja Parlamentu Europejskiego z dnia </w:t>
      </w:r>
      <w:r w:rsidR="0082452B">
        <w:t>8 października</w:t>
      </w:r>
      <w:r w:rsidRPr="006A31F0">
        <w:t xml:space="preserve"> 2025 r. w sprawie stanowiska Rady dotyczącego projektu budżetu korygującego Unii Europejskiej nr 2/2025 na rok budżetowy 2025 – aktualizacja dochodów (zasoby własne) i dostosowania w wydatkach</w:t>
      </w:r>
      <w:bookmarkEnd w:id="5"/>
      <w:r w:rsidRPr="006A31F0">
        <w:t xml:space="preserve"> </w:t>
      </w:r>
      <w:bookmarkStart w:id="6" w:name="References"/>
      <w:r w:rsidRPr="006A31F0">
        <w:t>(12353/2025 – C10-0209/2025 – 2025/0206(BUD))</w:t>
      </w:r>
      <w:bookmarkEnd w:id="6"/>
    </w:p>
    <w:p w14:paraId="5E84D9CE" w14:textId="77777777" w:rsidR="00EE4D33" w:rsidRPr="006A31F0" w:rsidRDefault="00EE4D33" w:rsidP="00EE4D33">
      <w:pPr>
        <w:pStyle w:val="EPComma"/>
      </w:pPr>
      <w:bookmarkStart w:id="7" w:name="TextBodyBegin"/>
      <w:bookmarkEnd w:id="7"/>
      <w:r w:rsidRPr="006A31F0">
        <w:rPr>
          <w:i/>
        </w:rPr>
        <w:t>Parlament Europejski</w:t>
      </w:r>
      <w:r w:rsidRPr="006A31F0">
        <w:t>,</w:t>
      </w:r>
    </w:p>
    <w:p w14:paraId="29A4A67A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art. 314 Traktatu o funkcjonowaniu Unii Europejskiej,</w:t>
      </w:r>
    </w:p>
    <w:p w14:paraId="2C936CB7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art. 106a Traktatu ustanawiającego Europejską Wspólnotę Energii Atomowej,</w:t>
      </w:r>
    </w:p>
    <w:p w14:paraId="2EBE6C84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 xml:space="preserve">uwzględniając rozporządzenie Parlamentu Europejskiego i Rady (UE, </w:t>
      </w:r>
      <w:proofErr w:type="spellStart"/>
      <w:r w:rsidRPr="006A31F0">
        <w:t>Euratom</w:t>
      </w:r>
      <w:proofErr w:type="spellEnd"/>
      <w:r w:rsidRPr="006A31F0">
        <w:t>) 2024/2509 z dnia 23 września 2024 r. w sprawie zasad finansowych mających zastosowanie do budżetu ogólnego Unii</w:t>
      </w:r>
      <w:r w:rsidRPr="006A31F0">
        <w:rPr>
          <w:rStyle w:val="FootnoteReference"/>
        </w:rPr>
        <w:footnoteReference w:id="1"/>
      </w:r>
      <w:r w:rsidRPr="006A31F0">
        <w:t>, w szczególności jego art. 44,</w:t>
      </w:r>
    </w:p>
    <w:p w14:paraId="5A55DB18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budżet ogólny Unii Europejskiej na rok budżetowy 2025, w formie przyjętej ostatecznie w dniu 27 listopada 2024 r.</w:t>
      </w:r>
      <w:r w:rsidRPr="006A31F0">
        <w:rPr>
          <w:rStyle w:val="FootnoteReference"/>
        </w:rPr>
        <w:footnoteReference w:id="2"/>
      </w:r>
      <w:r w:rsidRPr="006A31F0">
        <w:t>,</w:t>
      </w:r>
    </w:p>
    <w:p w14:paraId="2AC30B13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 xml:space="preserve">uwzględniając rozporządzenie Rady (UE, </w:t>
      </w:r>
      <w:proofErr w:type="spellStart"/>
      <w:r w:rsidRPr="006A31F0">
        <w:t>Euratom</w:t>
      </w:r>
      <w:proofErr w:type="spellEnd"/>
      <w:r w:rsidRPr="006A31F0">
        <w:t>) 2020/2093 z dnia 17 grudnia 2020 r. określające wieloletnie ramy finansowe na lata 2021–2027</w:t>
      </w:r>
      <w:r w:rsidRPr="006A31F0">
        <w:rPr>
          <w:rStyle w:val="FootnoteReference"/>
        </w:rPr>
        <w:footnoteReference w:id="3"/>
      </w:r>
      <w:r w:rsidRPr="006A31F0">
        <w:t>,</w:t>
      </w:r>
    </w:p>
    <w:p w14:paraId="178CAC33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6A31F0">
        <w:rPr>
          <w:rStyle w:val="FootnoteReference"/>
        </w:rPr>
        <w:footnoteReference w:id="4"/>
      </w:r>
      <w:r w:rsidRPr="006A31F0">
        <w:t>,</w:t>
      </w:r>
    </w:p>
    <w:p w14:paraId="0AB6E145" w14:textId="77777777" w:rsidR="00EE4D33" w:rsidRPr="006A31F0" w:rsidRDefault="00EE4D33" w:rsidP="00EE4D33">
      <w:pPr>
        <w:pStyle w:val="NormalHanging12a"/>
      </w:pPr>
      <w:r w:rsidRPr="006A31F0">
        <w:lastRenderedPageBreak/>
        <w:t>–</w:t>
      </w:r>
      <w:r w:rsidRPr="006A31F0">
        <w:tab/>
        <w:t xml:space="preserve">uwzględniając decyzję Rady (UE, </w:t>
      </w:r>
      <w:proofErr w:type="spellStart"/>
      <w:r w:rsidRPr="006A31F0">
        <w:t>Euratom</w:t>
      </w:r>
      <w:proofErr w:type="spellEnd"/>
      <w:r w:rsidRPr="006A31F0">
        <w:t xml:space="preserve">) 2020/2053 z dnia 14 grudnia 2020 r. w sprawie systemu zasobów własnych Unii Europejskiej oraz uchylającą decyzję 2014/335/UE, </w:t>
      </w:r>
      <w:proofErr w:type="spellStart"/>
      <w:r w:rsidRPr="006A31F0">
        <w:t>Euratom</w:t>
      </w:r>
      <w:proofErr w:type="spellEnd"/>
      <w:r w:rsidRPr="006A31F0">
        <w:rPr>
          <w:rStyle w:val="FootnoteReference"/>
        </w:rPr>
        <w:footnoteReference w:id="5"/>
      </w:r>
      <w:r w:rsidRPr="006A31F0">
        <w:t>,</w:t>
      </w:r>
    </w:p>
    <w:p w14:paraId="24ECC525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projekt budżetu korygującego nr 2/2025 przyjęty przez Komisję 4 lipca 2025 r. (COM(2025)0410),</w:t>
      </w:r>
    </w:p>
    <w:p w14:paraId="2A53F54F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stanowisko dotyczące projektu budżetu korygującego nr 2/2025, przyjęte przez Radę 16 września 2025 r. i przekazane Parlamentowi Europejskiemu 17 września 2025 r. (12353/2025 – C10</w:t>
      </w:r>
      <w:r w:rsidRPr="006A31F0">
        <w:noBreakHyphen/>
        <w:t>0209/2025),</w:t>
      </w:r>
    </w:p>
    <w:p w14:paraId="71F69B82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art. 96 i 98 Regulaminu,</w:t>
      </w:r>
    </w:p>
    <w:p w14:paraId="1CB8B2D4" w14:textId="77777777" w:rsidR="00EE4D33" w:rsidRPr="006A31F0" w:rsidRDefault="00EE4D33" w:rsidP="00EE4D33">
      <w:pPr>
        <w:pStyle w:val="NormalHanging12a"/>
      </w:pPr>
      <w:r w:rsidRPr="006A31F0">
        <w:t>–</w:t>
      </w:r>
      <w:r w:rsidRPr="006A31F0">
        <w:tab/>
        <w:t>uwzględniając sprawozdanie Komisji Budżetowej (A10-0165/2025),</w:t>
      </w:r>
    </w:p>
    <w:p w14:paraId="74B1385E" w14:textId="77777777" w:rsidR="00EE4D33" w:rsidRPr="006A31F0" w:rsidRDefault="00EE4D33" w:rsidP="00EE4D33">
      <w:pPr>
        <w:pStyle w:val="NormalHanging12a"/>
      </w:pPr>
      <w:r w:rsidRPr="006A31F0">
        <w:t>A.</w:t>
      </w:r>
      <w:r w:rsidRPr="006A31F0">
        <w:tab/>
        <w:t>mając na uwadze, że celem projektu budżetu korygującego nr 2/2025 jest aktualizacja budżetu po stronie dochodów w celu uwzględnienia najnowszych zmian, a ponadto dostosowanie wydatków w budżecie w odniesieniu do szeregu pozycji wydatków,</w:t>
      </w:r>
    </w:p>
    <w:p w14:paraId="4DCC67AE" w14:textId="77777777" w:rsidR="00EE4D33" w:rsidRPr="006A31F0" w:rsidRDefault="00EE4D33" w:rsidP="00EE4D33">
      <w:pPr>
        <w:pStyle w:val="NormalHanging12a"/>
      </w:pPr>
      <w:r w:rsidRPr="006A31F0">
        <w:t>B.</w:t>
      </w:r>
      <w:r w:rsidRPr="006A31F0">
        <w:tab/>
        <w:t>mając na uwadze, że projekt budżetu korygującego nr 2/2025 wiąże się z rewizją prognoz dotyczących zasobów własnych w odniesieniu do ceł, które są o 1% niższe niż prognoza z maja 2024 r., w odniesieniu do ograniczonej podstawy VAT, która jest o 2,4% niższa niż prognoza z maja 2024 r., w odniesieniu do niepoddawanych recyklingowi odpadów opakowaniowych z tworzyw sztucznych, które spadły o 3,5% w porównaniu z prognozą z maja 2024 r., oraz w odniesieniu do łącznej podstawy DNB UE, która jest o 0,5% wyższa niż w prognozie z maja 2024 r.,</w:t>
      </w:r>
    </w:p>
    <w:p w14:paraId="35B27007" w14:textId="77777777" w:rsidR="00EE4D33" w:rsidRPr="006A31F0" w:rsidRDefault="00EE4D33" w:rsidP="00EE4D33">
      <w:pPr>
        <w:pStyle w:val="NormalHanging12a"/>
      </w:pPr>
      <w:r w:rsidRPr="006A31F0">
        <w:t>C.</w:t>
      </w:r>
      <w:r w:rsidRPr="006A31F0">
        <w:tab/>
        <w:t>mając na uwadze, że w projekcie budżetu korygującego nr 2/2025 zaktualizowano również wkład Zjednoczonego Królestwa na 2025 r. zgodnie z umową o wystąpieniu, który wynosi 1,53 mld EUR, co stanowi nieznaczną redukcję o 25 mln EUR w porównaniu z szacunkami zawartymi w budżecie na 2025 r.,</w:t>
      </w:r>
    </w:p>
    <w:p w14:paraId="19809303" w14:textId="77777777" w:rsidR="00EE4D33" w:rsidRPr="006A31F0" w:rsidRDefault="00EE4D33" w:rsidP="00EE4D33">
      <w:pPr>
        <w:pStyle w:val="NormalHanging12a"/>
      </w:pPr>
      <w:r w:rsidRPr="006A31F0">
        <w:t>D.</w:t>
      </w:r>
      <w:r w:rsidRPr="006A31F0">
        <w:tab/>
        <w:t>mając na uwadze, że w projekcie budżetu korygującego nr 2/2025 uwzględniono również grzywny, kary za naruszenie przepisów prawa i negatywne zwroty zainkasowane do końca maja 2025 r., co zwiększa pierwotną prognozę dotyczącą grzywien i kar w budżecie na 2025 r. o 291 mln EUR,</w:t>
      </w:r>
    </w:p>
    <w:p w14:paraId="7494A517" w14:textId="77777777" w:rsidR="00EE4D33" w:rsidRPr="006A31F0" w:rsidRDefault="00EE4D33" w:rsidP="00EE4D33">
      <w:pPr>
        <w:pStyle w:val="NormalHanging12a"/>
      </w:pPr>
      <w:r w:rsidRPr="006A31F0">
        <w:t>E.</w:t>
      </w:r>
      <w:r w:rsidRPr="006A31F0">
        <w:tab/>
        <w:t>mając na uwadze, że po stronie wydatków w projekcie budżetu korygującego nr 2/2025 proponuje się szereg aktualizacji środków na zobowiązania i środków na płatności, przede wszystkim zwiększenie środków na płatności o 3,5 mld EUR na Europejski Fundusz Rolny na rzecz Rozwoju Obszarów Wiejskich,</w:t>
      </w:r>
    </w:p>
    <w:p w14:paraId="058E5CBE" w14:textId="77777777" w:rsidR="00EE4D33" w:rsidRPr="006A31F0" w:rsidRDefault="00EE4D33" w:rsidP="00EE4D33">
      <w:pPr>
        <w:pStyle w:val="NormalHanging12a"/>
      </w:pPr>
      <w:r w:rsidRPr="006A31F0">
        <w:t>1.</w:t>
      </w:r>
      <w:r w:rsidRPr="006A31F0">
        <w:tab/>
        <w:t>przyjmuje do wiadomości projekt budżetu korygującego nr 2/2025 przedstawiony przez Komisję;</w:t>
      </w:r>
    </w:p>
    <w:p w14:paraId="4188A264" w14:textId="77777777" w:rsidR="00EE4D33" w:rsidRPr="006A31F0" w:rsidRDefault="00EE4D33" w:rsidP="00EE4D33">
      <w:pPr>
        <w:pStyle w:val="NormalHanging12a"/>
      </w:pPr>
      <w:r w:rsidRPr="006A31F0">
        <w:t>2.</w:t>
      </w:r>
      <w:r w:rsidRPr="006A31F0">
        <w:tab/>
        <w:t xml:space="preserve">zauważa, że zmniejszenie kwoty zasobów własnych innych niż DNB oraz dodatkowe potrzeby w zakresie płatności po stronie wydatków skutkują ogólnym zwiększonym zapotrzebowaniem na wkłady oparte na DNB w wysokości 4,3 mld EUR; przyznaje, że oznacza to podniesienie jednolitej stawki poboru DNB z 0,527% (w projekcie budżetu </w:t>
      </w:r>
      <w:r w:rsidRPr="006A31F0">
        <w:lastRenderedPageBreak/>
        <w:t>korygującego nr 1/2025) do 0,547% (w projekcie budżetu korygującego nr 2/2025);</w:t>
      </w:r>
    </w:p>
    <w:p w14:paraId="31CAA71A" w14:textId="77777777" w:rsidR="00EE4D33" w:rsidRPr="006A31F0" w:rsidRDefault="00EE4D33" w:rsidP="00EE4D33">
      <w:pPr>
        <w:pStyle w:val="NormalHanging12a"/>
      </w:pPr>
      <w:r w:rsidRPr="006A31F0">
        <w:t>3.</w:t>
      </w:r>
      <w:r w:rsidRPr="006A31F0">
        <w:tab/>
        <w:t xml:space="preserve">podkreśla, że w projekcie budżetu korygującego nr 2/2025 obniżki ryczałtowe DNB dla pięciu państw członkowskich będących beneficjentami wynoszą ok. 9,2 mld EUR (brutto); podkreśla, że rabaty te są powiązane z inflacją, a zatem wzrosły bardziej niż pułapy wieloletnich ram finansowych, które są corocznie dostosowywane na podstawie </w:t>
      </w:r>
      <w:proofErr w:type="spellStart"/>
      <w:r w:rsidRPr="006A31F0">
        <w:t>deflatora</w:t>
      </w:r>
      <w:proofErr w:type="spellEnd"/>
      <w:r w:rsidRPr="006A31F0">
        <w:t xml:space="preserve"> w wysokości 2%; podkreśla, że budżet unijny poddano znacznej presji, aby zareagować na różne kryzysy, które miały miejsce w ciągu ostatnich kilku lat; podkreśla, że owa anomalia dotycząca rabatów zwiększa obciążenie dla innych państw członkowskich;</w:t>
      </w:r>
    </w:p>
    <w:p w14:paraId="467962F1" w14:textId="77777777" w:rsidR="00EE4D33" w:rsidRPr="006A31F0" w:rsidRDefault="00EE4D33" w:rsidP="00EE4D33">
      <w:pPr>
        <w:pStyle w:val="NormalHanging12a"/>
      </w:pPr>
      <w:r w:rsidRPr="006A31F0">
        <w:t>4.</w:t>
      </w:r>
      <w:r w:rsidRPr="006A31F0">
        <w:tab/>
        <w:t xml:space="preserve">z zadowoleniem przyjmuje nowe wysiłki Komisji na rzecz przedstawienia większej liczby opcji dotyczących nowych źródeł dochodów do budżetu Unii; w związku z tym odnotowuje wniosek Komisji z 16 lipca 2025 r. dotyczący decyzji Rady w sprawie systemu zasobów własnych Unii Europejskiej, uważa, że szybkie przyjęcie nowych zasobów własnych jest konieczne, aby zwiększyć zasoby udostępniane w budżecie; podkreśla, że nowe zasoby własne muszą być uczciwe i mają zasadnicze znaczenie nie tylko dla spłaty pożyczek zaciągniętych w ramach </w:t>
      </w:r>
      <w:proofErr w:type="spellStart"/>
      <w:r w:rsidRPr="006A31F0">
        <w:t>NextGenerationEU</w:t>
      </w:r>
      <w:proofErr w:type="spellEnd"/>
      <w:r w:rsidRPr="006A31F0">
        <w:t>, lecz także jeżeli chodzi o to, aby Unia była przygotowana na zaspokojenie większych potrzeb w zakresie wydatków; w tym kontekście przypomina swoje ugruntowane stanowisko, zgodnie z którym nadzwyczajne zyski wynikające z grzywien i kar lub równoważne kwoty powinny być traktowane jako dodatkowe dochody w budżecie Unii i być przeznaczane na reagowanie kryzysowe lub na nieoczekiwane potrzeby, zamiast prowadzić do redukcji wkładów opartych na DNB; podkreśla, że w obecnych wieloletnich ramach finansowych takie kwoty są zwracane państwom członkowskim;</w:t>
      </w:r>
    </w:p>
    <w:p w14:paraId="39D590DE" w14:textId="77777777" w:rsidR="00EE4D33" w:rsidRPr="006A31F0" w:rsidRDefault="00EE4D33" w:rsidP="00EE4D33">
      <w:pPr>
        <w:pStyle w:val="NormalHanging12a"/>
      </w:pPr>
      <w:r w:rsidRPr="006A31F0">
        <w:t>5.</w:t>
      </w:r>
      <w:r w:rsidRPr="006A31F0">
        <w:tab/>
        <w:t>podkreśla, że wnioski wyciągnięte z niedawnych kryzysów – pandemii, wstrząsów energetycznych i wojny w Ukrainie – wymagają poważnej refleksji nad elastycznością kolejnych wieloletnich ram finansowych; przypomina swoje stanowisko, zgodnie z którym przyszły instrument elastyczności powinien być zasilany z różnych dodatkowych źródeł finansowania, w tym z takich jak roczna nadwyżka z poprzedniego roku, grzywny i środki powracające; przyjmuje do wiadomości odpowiednie przepisy proponowanego rozporządzenia w sprawie wieloletnich ram finansowych, w którym Komisja proponuje dodanie pewnych kwot do instrumentu elastyczności stosownie do długoletnich żądań Parlamentu; przypomina jednak, że elastyczność nie powinna odbywać się kosztem przejrzystości;</w:t>
      </w:r>
    </w:p>
    <w:p w14:paraId="51235BE8" w14:textId="77777777" w:rsidR="00EE4D33" w:rsidRPr="006A31F0" w:rsidRDefault="00EE4D33" w:rsidP="00EE4D33">
      <w:pPr>
        <w:pStyle w:val="NormalHanging12a"/>
      </w:pPr>
      <w:r w:rsidRPr="006A31F0">
        <w:t>6.</w:t>
      </w:r>
      <w:r w:rsidRPr="006A31F0">
        <w:tab/>
        <w:t>z zadowoleniem przyjmuje podwyższenie środków na płatności dla Funduszu Rozwoju Obszarów Wiejskich, co wskazuje, że wdrażanie planów strategicznych wspólnej polityki rolnej na lata 2023–2027, a także interwencje w ramach programów na lata 2014–2020 przyspieszają, a tym samym zmniejszają się opóźnienia z poprzednich lat budżetowych;</w:t>
      </w:r>
    </w:p>
    <w:p w14:paraId="5489A327" w14:textId="77777777" w:rsidR="00EE4D33" w:rsidRPr="006A31F0" w:rsidRDefault="00EE4D33" w:rsidP="00EE4D33">
      <w:pPr>
        <w:pStyle w:val="NormalHanging12a"/>
      </w:pPr>
      <w:r w:rsidRPr="006A31F0">
        <w:t>7.</w:t>
      </w:r>
      <w:r w:rsidRPr="006A31F0">
        <w:tab/>
        <w:t>pochwala bieżące usprawnienia, jeśli chodzi o mechanizm dostosowywania cen na granicach z uwzględnieniem emisji dwutlenku węgla (CBAM), ale zastanawia się, dlaczego uproszczenie rozporządzenia w sprawie tego mechanizmu miałoby oznaczać wzrost potrzeb o około 8 mln EUR, a nie ich spadek ze względu na większą wydajność;</w:t>
      </w:r>
    </w:p>
    <w:p w14:paraId="3F450122" w14:textId="77777777" w:rsidR="00EE4D33" w:rsidRPr="006A31F0" w:rsidRDefault="00EE4D33" w:rsidP="00EE4D33">
      <w:pPr>
        <w:pStyle w:val="NormalHanging12a"/>
      </w:pPr>
      <w:r w:rsidRPr="006A31F0">
        <w:t>8.</w:t>
      </w:r>
      <w:r w:rsidRPr="006A31F0">
        <w:tab/>
        <w:t xml:space="preserve">ponadto uważa, że wątpliwe jest zrekompensowanie dodatkowych potrzeb w zakresie scentralizowanego systemu celnego w dziale 1 i CBAM w dziale 3 poprzez proporcjonalne zmniejszenie przydziałów w ramach instrumentu na rzecz sprzętu do </w:t>
      </w:r>
      <w:r w:rsidRPr="006A31F0">
        <w:lastRenderedPageBreak/>
        <w:t>kontroli celnej w dziale 4; ubolewa, że obecna sytuacja budżetowa skłoniła Komisję do przesunięć znacznych środków finansowych między działami, i przypomina o swoim ugruntowanym stanowisku, zgodnie z którym za nowymi priorytetami, zadaniami lub potrzebami politycznymi powinny iść nowe środki finansowe; podkreśla zdecydowanie, że powtarzające się przesunięcia nie są skutecznym sposobem finansowania priorytetów Unii, ponieważ szkodzą inwestycjom i zagrażają realizacji uzgodnionych celów politycznych;</w:t>
      </w:r>
    </w:p>
    <w:p w14:paraId="554959C1" w14:textId="77777777" w:rsidR="00EE4D33" w:rsidRPr="006A31F0" w:rsidRDefault="00EE4D33" w:rsidP="00EE4D33">
      <w:pPr>
        <w:pStyle w:val="NormalHanging12a"/>
      </w:pPr>
      <w:r w:rsidRPr="006A31F0">
        <w:t>9.</w:t>
      </w:r>
      <w:r w:rsidRPr="006A31F0">
        <w:tab/>
        <w:t>podkreśla i z zadowoleniem przyjmuje fakt, że niektóre zmiany w planie zatrudnienia unijnego Urzędu ds. Przeciwdziałania Praniu Pieniędzy umożliwią mu terminowe i skuteczne wykonywanie jego zadań; przypomina, że ta kluczowa instytucja odgrywa centralną rolę w ochronie pieniędzy podatników i uzyskała silne poparcie Parlamentu Europejskiego;</w:t>
      </w:r>
    </w:p>
    <w:p w14:paraId="7A052A3C" w14:textId="77777777" w:rsidR="00EE4D33" w:rsidRPr="006A31F0" w:rsidRDefault="00EE4D33" w:rsidP="00EE4D33">
      <w:pPr>
        <w:pStyle w:val="NormalHanging12a"/>
      </w:pPr>
      <w:r w:rsidRPr="006A31F0">
        <w:t>10.</w:t>
      </w:r>
      <w:r w:rsidRPr="006A31F0">
        <w:tab/>
        <w:t>z zadowoleniem przyjmuje postępy Bułgarii na drodze do wprowadzenia euro i w pełni popiera dodatkowe środki, dzięki którym przejściu na nową walutę będą towarzyszyć odpowiednie i ukierunkowane działania komunikacyjne; przyznaje, że ze względu na brak nieprzydzielonego marginesu w dziale 2b należy w tym celu uruchomić instrument elastyczności;</w:t>
      </w:r>
    </w:p>
    <w:p w14:paraId="333239EE" w14:textId="77777777" w:rsidR="00EE4D33" w:rsidRPr="006A31F0" w:rsidRDefault="00EE4D33" w:rsidP="00EE4D33">
      <w:pPr>
        <w:pStyle w:val="NormalHanging12a"/>
      </w:pPr>
      <w:r w:rsidRPr="006A31F0">
        <w:t>11.</w:t>
      </w:r>
      <w:r w:rsidRPr="006A31F0">
        <w:tab/>
        <w:t>zatwierdza stanowisko Rady dotyczące projektu budżetu korygującego nr 2/2025;</w:t>
      </w:r>
    </w:p>
    <w:p w14:paraId="28E53C4C" w14:textId="77777777" w:rsidR="00EE4D33" w:rsidRPr="006A31F0" w:rsidRDefault="00EE4D33" w:rsidP="00EE4D33">
      <w:pPr>
        <w:pStyle w:val="NormalHanging12a"/>
      </w:pPr>
      <w:r w:rsidRPr="006A31F0">
        <w:t>12.</w:t>
      </w:r>
      <w:r w:rsidRPr="006A31F0">
        <w:tab/>
        <w:t>zobowiązuje swoją przewodniczącą do ogłoszenia, że budżet korygujący nr 2/2025 został ostatecznie przyjęty, i do zarządzenia jego publikacji w Dzienniku Urzędowym Unii Europejskiej;</w:t>
      </w:r>
    </w:p>
    <w:p w14:paraId="7D470B78" w14:textId="77777777" w:rsidR="00EE4D33" w:rsidRPr="006A31F0" w:rsidRDefault="00EE4D33" w:rsidP="00EE4D33">
      <w:pPr>
        <w:pStyle w:val="NormalHanging12a"/>
      </w:pPr>
      <w:r w:rsidRPr="006A31F0">
        <w:t>13.</w:t>
      </w:r>
      <w:r w:rsidRPr="006A31F0">
        <w:tab/>
        <w:t>zobowiązuje swoją przewodniczącą do przekazania niniejszej rezolucji Radzie, Komisji, pozostałym zainteresowanym instytucjom i organom oraz parlamentom narodowym.</w:t>
      </w:r>
    </w:p>
    <w:sectPr w:rsidR="00EE4D33" w:rsidRPr="006A31F0" w:rsidSect="006A31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37035" w14:textId="77777777" w:rsidR="00A54D55" w:rsidRPr="006A31F0" w:rsidRDefault="00A54D55">
      <w:r w:rsidRPr="006A31F0">
        <w:separator/>
      </w:r>
    </w:p>
  </w:endnote>
  <w:endnote w:type="continuationSeparator" w:id="0">
    <w:p w14:paraId="4E41AEA8" w14:textId="77777777" w:rsidR="00A54D55" w:rsidRPr="006A31F0" w:rsidRDefault="00A54D55">
      <w:r w:rsidRPr="006A31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01E6" w14:textId="77777777" w:rsidR="00064002" w:rsidRPr="006A31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FA7C7" w14:textId="77777777" w:rsidR="00064002" w:rsidRPr="006A31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26F0C" w14:textId="77777777" w:rsidR="00064002" w:rsidRPr="006A31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B9A08" w14:textId="77777777" w:rsidR="00A54D55" w:rsidRPr="006A31F0" w:rsidRDefault="00A54D55">
      <w:r w:rsidRPr="006A31F0">
        <w:separator/>
      </w:r>
    </w:p>
  </w:footnote>
  <w:footnote w:type="continuationSeparator" w:id="0">
    <w:p w14:paraId="6EF16229" w14:textId="77777777" w:rsidR="00A54D55" w:rsidRPr="006A31F0" w:rsidRDefault="00A54D55">
      <w:r w:rsidRPr="006A31F0">
        <w:continuationSeparator/>
      </w:r>
    </w:p>
  </w:footnote>
  <w:footnote w:id="1">
    <w:p w14:paraId="01F28980" w14:textId="50AC9223" w:rsidR="00EE4D33" w:rsidRPr="0082452B" w:rsidRDefault="00EE4D33" w:rsidP="006A31F0">
      <w:pPr>
        <w:pStyle w:val="FootnoteText"/>
        <w:ind w:left="567" w:hanging="567"/>
        <w:rPr>
          <w:sz w:val="24"/>
          <w:lang w:val="fi-FI"/>
        </w:rPr>
      </w:pPr>
      <w:r w:rsidRPr="006A31F0">
        <w:rPr>
          <w:rStyle w:val="FootnoteReference"/>
          <w:sz w:val="24"/>
          <w:lang w:val="pl-PL"/>
        </w:rPr>
        <w:footnoteRef/>
      </w:r>
      <w:r w:rsidR="006A31F0" w:rsidRPr="0082452B">
        <w:rPr>
          <w:sz w:val="24"/>
          <w:lang w:val="fi-FI"/>
        </w:rPr>
        <w:t xml:space="preserve"> </w:t>
      </w:r>
      <w:r w:rsidR="006A31F0" w:rsidRPr="0082452B">
        <w:rPr>
          <w:sz w:val="24"/>
          <w:lang w:val="fi-FI"/>
        </w:rPr>
        <w:tab/>
      </w:r>
      <w:proofErr w:type="spellStart"/>
      <w:r w:rsidRPr="0082452B">
        <w:rPr>
          <w:sz w:val="24"/>
          <w:lang w:val="fi-FI"/>
        </w:rPr>
        <w:t>Dz.U</w:t>
      </w:r>
      <w:proofErr w:type="spellEnd"/>
      <w:r w:rsidRPr="0082452B">
        <w:rPr>
          <w:sz w:val="24"/>
          <w:lang w:val="fi-FI"/>
        </w:rPr>
        <w:t xml:space="preserve">. L, 2024/2509, 26.9.2024, ELI: </w:t>
      </w:r>
      <w:r w:rsidR="007760EA">
        <w:fldChar w:fldCharType="begin"/>
      </w:r>
      <w:r w:rsidR="007760EA" w:rsidRPr="007760EA">
        <w:rPr>
          <w:lang w:val="fi-FI"/>
        </w:rPr>
        <w:instrText>HYPERLINK "http://data.europa.eu/eli/reg/2024/2509/oj"</w:instrText>
      </w:r>
      <w:r w:rsidR="007760EA">
        <w:fldChar w:fldCharType="separate"/>
      </w:r>
      <w:r w:rsidRPr="0082452B">
        <w:rPr>
          <w:rStyle w:val="Hyperlink"/>
          <w:sz w:val="24"/>
          <w:lang w:val="fi-FI"/>
        </w:rPr>
        <w:t>http://data.europa.eu/eli/reg/2024/2509/oj</w:t>
      </w:r>
      <w:r w:rsidR="007760EA">
        <w:rPr>
          <w:rStyle w:val="Hyperlink"/>
          <w:sz w:val="24"/>
          <w:lang w:val="fi-FI"/>
        </w:rPr>
        <w:fldChar w:fldCharType="end"/>
      </w:r>
      <w:r w:rsidRPr="0082452B">
        <w:rPr>
          <w:sz w:val="24"/>
          <w:lang w:val="fi-FI"/>
        </w:rPr>
        <w:t>.</w:t>
      </w:r>
    </w:p>
  </w:footnote>
  <w:footnote w:id="2">
    <w:p w14:paraId="5091B164" w14:textId="50703205" w:rsidR="00EE4D33" w:rsidRPr="0082452B" w:rsidRDefault="00EE4D33" w:rsidP="006A31F0">
      <w:pPr>
        <w:pStyle w:val="FootnoteText"/>
        <w:ind w:left="567" w:hanging="567"/>
        <w:rPr>
          <w:rStyle w:val="Hyperlink"/>
          <w:sz w:val="24"/>
          <w:lang w:val="fi-FI"/>
        </w:rPr>
      </w:pPr>
      <w:r w:rsidRPr="006A31F0">
        <w:rPr>
          <w:rStyle w:val="FootnoteReference"/>
          <w:sz w:val="24"/>
          <w:lang w:val="pl-PL"/>
        </w:rPr>
        <w:footnoteRef/>
      </w:r>
      <w:r w:rsidR="006A31F0" w:rsidRPr="0082452B">
        <w:rPr>
          <w:sz w:val="24"/>
          <w:lang w:val="fi-FI"/>
        </w:rPr>
        <w:t xml:space="preserve"> </w:t>
      </w:r>
      <w:r w:rsidR="006A31F0" w:rsidRPr="0082452B">
        <w:rPr>
          <w:sz w:val="24"/>
          <w:lang w:val="fi-FI"/>
        </w:rPr>
        <w:tab/>
      </w:r>
      <w:proofErr w:type="spellStart"/>
      <w:r w:rsidRPr="0082452B">
        <w:rPr>
          <w:sz w:val="24"/>
          <w:lang w:val="fi-FI"/>
        </w:rPr>
        <w:t>Dz.U</w:t>
      </w:r>
      <w:proofErr w:type="spellEnd"/>
      <w:r w:rsidRPr="0082452B">
        <w:rPr>
          <w:sz w:val="24"/>
          <w:lang w:val="fi-FI"/>
        </w:rPr>
        <w:t xml:space="preserve">. L, 2025/31, 27.2.2025, ELI: </w:t>
      </w:r>
      <w:r w:rsidR="007760EA">
        <w:fldChar w:fldCharType="begin"/>
      </w:r>
      <w:r w:rsidR="007760EA" w:rsidRPr="007760EA">
        <w:rPr>
          <w:lang w:val="fi-FI"/>
        </w:rPr>
        <w:instrText>HYPERLINK "http://data.europa.eu/eli/budget/2025/31/oj%20"</w:instrText>
      </w:r>
      <w:r w:rsidR="007760EA">
        <w:fldChar w:fldCharType="separate"/>
      </w:r>
      <w:r w:rsidRPr="0082452B">
        <w:rPr>
          <w:rStyle w:val="Hyperlink"/>
          <w:sz w:val="24"/>
          <w:lang w:val="fi-FI"/>
        </w:rPr>
        <w:t>http://data.europa.eu/eli/budget/2025/31/oj</w:t>
      </w:r>
      <w:r w:rsidR="007760EA">
        <w:rPr>
          <w:rStyle w:val="Hyperlink"/>
          <w:sz w:val="24"/>
          <w:lang w:val="fi-FI"/>
        </w:rPr>
        <w:fldChar w:fldCharType="end"/>
      </w:r>
      <w:r w:rsidRPr="0082452B">
        <w:rPr>
          <w:rStyle w:val="Hyperlink"/>
          <w:sz w:val="24"/>
          <w:lang w:val="fi-FI"/>
        </w:rPr>
        <w:t>.</w:t>
      </w:r>
    </w:p>
  </w:footnote>
  <w:footnote w:id="3">
    <w:p w14:paraId="004F2486" w14:textId="40FE5C7C" w:rsidR="00EE4D33" w:rsidRPr="006A31F0" w:rsidRDefault="00EE4D33" w:rsidP="006A31F0">
      <w:pPr>
        <w:pStyle w:val="FootnoteText"/>
        <w:ind w:left="567" w:hanging="567"/>
        <w:rPr>
          <w:rStyle w:val="Hyperlink"/>
          <w:sz w:val="24"/>
          <w:lang w:val="pl-PL"/>
        </w:rPr>
      </w:pPr>
      <w:r w:rsidRPr="006A31F0">
        <w:rPr>
          <w:rStyle w:val="FootnoteReference"/>
          <w:sz w:val="24"/>
          <w:lang w:val="pl-PL"/>
        </w:rPr>
        <w:footnoteRef/>
      </w:r>
      <w:r w:rsidR="006A31F0" w:rsidRPr="006A31F0">
        <w:rPr>
          <w:sz w:val="24"/>
          <w:lang w:val="pl-PL"/>
        </w:rPr>
        <w:t xml:space="preserve"> </w:t>
      </w:r>
      <w:r w:rsidR="006A31F0" w:rsidRPr="006A31F0">
        <w:rPr>
          <w:sz w:val="24"/>
          <w:lang w:val="pl-PL"/>
        </w:rPr>
        <w:tab/>
      </w:r>
      <w:r w:rsidRPr="006A31F0">
        <w:rPr>
          <w:sz w:val="24"/>
          <w:lang w:val="pl-PL"/>
        </w:rPr>
        <w:t xml:space="preserve">Dz.U. L 433 I z 22.12.2020, s. 11, ELI: </w:t>
      </w:r>
      <w:r w:rsidR="007760EA">
        <w:fldChar w:fldCharType="begin"/>
      </w:r>
      <w:r w:rsidR="007760EA" w:rsidRPr="007760EA">
        <w:rPr>
          <w:lang w:val="pl-PL"/>
        </w:rPr>
        <w:instrText>HYPERLINK "http://data.europa.eu/eli/reg/2020/433/oj"</w:instrText>
      </w:r>
      <w:r w:rsidR="007760EA">
        <w:fldChar w:fldCharType="separate"/>
      </w:r>
      <w:r w:rsidRPr="006A31F0">
        <w:rPr>
          <w:rStyle w:val="Hyperlink"/>
          <w:sz w:val="24"/>
          <w:lang w:val="pl-PL"/>
        </w:rPr>
        <w:t>http://data.europa.eu/eli/reg/2020/433/oj</w:t>
      </w:r>
      <w:r w:rsidR="007760EA">
        <w:rPr>
          <w:rStyle w:val="Hyperlink"/>
          <w:sz w:val="24"/>
          <w:lang w:val="pl-PL"/>
        </w:rPr>
        <w:fldChar w:fldCharType="end"/>
      </w:r>
      <w:r w:rsidRPr="006A31F0">
        <w:rPr>
          <w:rStyle w:val="Hyperlink"/>
          <w:sz w:val="24"/>
          <w:lang w:val="pl-PL"/>
        </w:rPr>
        <w:t>.</w:t>
      </w:r>
    </w:p>
  </w:footnote>
  <w:footnote w:id="4">
    <w:p w14:paraId="7738CEF7" w14:textId="15CF454B" w:rsidR="00EE4D33" w:rsidRPr="006A31F0" w:rsidRDefault="00EE4D33" w:rsidP="006A31F0">
      <w:pPr>
        <w:pStyle w:val="FootnoteText"/>
        <w:ind w:left="567" w:hanging="567"/>
        <w:rPr>
          <w:sz w:val="24"/>
          <w:lang w:val="pl-PL"/>
        </w:rPr>
      </w:pPr>
      <w:r w:rsidRPr="006A31F0">
        <w:rPr>
          <w:rStyle w:val="FootnoteReference"/>
          <w:sz w:val="24"/>
          <w:lang w:val="pl-PL"/>
        </w:rPr>
        <w:footnoteRef/>
      </w:r>
      <w:r w:rsidR="006A31F0" w:rsidRPr="006A31F0">
        <w:rPr>
          <w:sz w:val="24"/>
          <w:lang w:val="pl-PL"/>
        </w:rPr>
        <w:t xml:space="preserve"> </w:t>
      </w:r>
      <w:r w:rsidR="006A31F0" w:rsidRPr="006A31F0">
        <w:rPr>
          <w:sz w:val="24"/>
          <w:lang w:val="pl-PL"/>
        </w:rPr>
        <w:tab/>
      </w:r>
      <w:r w:rsidRPr="006A31F0">
        <w:rPr>
          <w:sz w:val="24"/>
          <w:lang w:val="pl-PL"/>
        </w:rPr>
        <w:t xml:space="preserve">Dz.U. L 433 I z 22.12.2020, s. 28, ELI: </w:t>
      </w:r>
      <w:r w:rsidR="007760EA">
        <w:fldChar w:fldCharType="begin"/>
      </w:r>
      <w:r w:rsidR="007760EA" w:rsidRPr="007760EA">
        <w:rPr>
          <w:lang w:val="pl-PL"/>
        </w:rPr>
        <w:instrText>HYPERLINK "http://data.europa.eu/eli/agree_interinstit/2020/1222/oj"</w:instrText>
      </w:r>
      <w:r w:rsidR="007760EA">
        <w:fldChar w:fldCharType="separate"/>
      </w:r>
      <w:r w:rsidRPr="006A31F0">
        <w:rPr>
          <w:rStyle w:val="Hyperlink"/>
          <w:sz w:val="24"/>
          <w:lang w:val="pl-PL"/>
        </w:rPr>
        <w:t>http://data.europa.eu/eli/agree_interinstit/2020/1222/oj</w:t>
      </w:r>
      <w:r w:rsidR="007760EA">
        <w:rPr>
          <w:rStyle w:val="Hyperlink"/>
          <w:sz w:val="24"/>
          <w:lang w:val="pl-PL"/>
        </w:rPr>
        <w:fldChar w:fldCharType="end"/>
      </w:r>
      <w:r w:rsidRPr="006A31F0">
        <w:rPr>
          <w:rStyle w:val="Hyperlink"/>
          <w:sz w:val="24"/>
          <w:lang w:val="pl-PL"/>
        </w:rPr>
        <w:t>.</w:t>
      </w:r>
    </w:p>
  </w:footnote>
  <w:footnote w:id="5">
    <w:p w14:paraId="5968D2F7" w14:textId="24C0BE7F" w:rsidR="00EE4D33" w:rsidRPr="006A31F0" w:rsidRDefault="00EE4D33" w:rsidP="006A31F0">
      <w:pPr>
        <w:pStyle w:val="FootnoteText"/>
        <w:ind w:left="567" w:hanging="567"/>
        <w:rPr>
          <w:sz w:val="24"/>
          <w:lang w:val="pl-PL"/>
        </w:rPr>
      </w:pPr>
      <w:r w:rsidRPr="006A31F0">
        <w:rPr>
          <w:rStyle w:val="FootnoteReference"/>
          <w:sz w:val="24"/>
          <w:lang w:val="pl-PL"/>
        </w:rPr>
        <w:footnoteRef/>
      </w:r>
      <w:r w:rsidR="006A31F0" w:rsidRPr="006A31F0">
        <w:rPr>
          <w:sz w:val="24"/>
          <w:lang w:val="pl-PL"/>
        </w:rPr>
        <w:t xml:space="preserve"> </w:t>
      </w:r>
      <w:r w:rsidR="006A31F0" w:rsidRPr="006A31F0">
        <w:rPr>
          <w:sz w:val="24"/>
          <w:lang w:val="pl-PL"/>
        </w:rPr>
        <w:tab/>
      </w:r>
      <w:r w:rsidRPr="006A31F0">
        <w:rPr>
          <w:sz w:val="24"/>
          <w:lang w:val="pl-PL"/>
        </w:rPr>
        <w:t xml:space="preserve">Dz.U. L 424 z 15.12.2020, s. 1, ELI: </w:t>
      </w:r>
      <w:r w:rsidR="007760EA">
        <w:fldChar w:fldCharType="begin"/>
      </w:r>
      <w:r w:rsidR="007760EA" w:rsidRPr="007760EA">
        <w:rPr>
          <w:lang w:val="pl-PL"/>
        </w:rPr>
        <w:instrText>HYPERLINK "http://data.europa.eu/eli/dec/2020/2053/oj"</w:instrText>
      </w:r>
      <w:r w:rsidR="007760EA">
        <w:fldChar w:fldCharType="separate"/>
      </w:r>
      <w:r w:rsidRPr="006A31F0">
        <w:rPr>
          <w:rStyle w:val="Hyperlink"/>
          <w:sz w:val="24"/>
          <w:lang w:val="pl-PL"/>
        </w:rPr>
        <w:t>http://data.europa.eu/eli/dec/2020/2053/oj</w:t>
      </w:r>
      <w:r w:rsidR="007760EA">
        <w:rPr>
          <w:rStyle w:val="Hyperlink"/>
          <w:sz w:val="24"/>
          <w:lang w:val="pl-PL"/>
        </w:rPr>
        <w:fldChar w:fldCharType="end"/>
      </w:r>
      <w:r w:rsidRPr="006A31F0">
        <w:rPr>
          <w:rStyle w:val="Hyperlink"/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43C5" w14:textId="77777777" w:rsidR="00064002" w:rsidRPr="006A31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8BA9" w14:textId="77777777" w:rsidR="00064002" w:rsidRPr="006A31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98F5F" w14:textId="77777777" w:rsidR="00064002" w:rsidRPr="006A31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9515702">
    <w:abstractNumId w:val="9"/>
  </w:num>
  <w:num w:numId="2" w16cid:durableId="1149515288">
    <w:abstractNumId w:val="9"/>
  </w:num>
  <w:num w:numId="3" w16cid:durableId="1724981516">
    <w:abstractNumId w:val="7"/>
  </w:num>
  <w:num w:numId="4" w16cid:durableId="838619195">
    <w:abstractNumId w:val="7"/>
  </w:num>
  <w:num w:numId="5" w16cid:durableId="1681010653">
    <w:abstractNumId w:val="6"/>
  </w:num>
  <w:num w:numId="6" w16cid:durableId="650134328">
    <w:abstractNumId w:val="6"/>
  </w:num>
  <w:num w:numId="7" w16cid:durableId="1358388170">
    <w:abstractNumId w:val="5"/>
  </w:num>
  <w:num w:numId="8" w16cid:durableId="1355422963">
    <w:abstractNumId w:val="5"/>
  </w:num>
  <w:num w:numId="9" w16cid:durableId="1290740164">
    <w:abstractNumId w:val="4"/>
  </w:num>
  <w:num w:numId="10" w16cid:durableId="1953125168">
    <w:abstractNumId w:val="4"/>
  </w:num>
  <w:num w:numId="11" w16cid:durableId="90103">
    <w:abstractNumId w:val="8"/>
  </w:num>
  <w:num w:numId="12" w16cid:durableId="92091012">
    <w:abstractNumId w:val="8"/>
  </w:num>
  <w:num w:numId="13" w16cid:durableId="1704208408">
    <w:abstractNumId w:val="3"/>
  </w:num>
  <w:num w:numId="14" w16cid:durableId="1881433153">
    <w:abstractNumId w:val="3"/>
  </w:num>
  <w:num w:numId="15" w16cid:durableId="15353867">
    <w:abstractNumId w:val="2"/>
  </w:num>
  <w:num w:numId="16" w16cid:durableId="1302996497">
    <w:abstractNumId w:val="2"/>
  </w:num>
  <w:num w:numId="17" w16cid:durableId="2056810039">
    <w:abstractNumId w:val="1"/>
  </w:num>
  <w:num w:numId="18" w16cid:durableId="71008207">
    <w:abstractNumId w:val="1"/>
  </w:num>
  <w:num w:numId="19" w16cid:durableId="638997619">
    <w:abstractNumId w:val="0"/>
  </w:num>
  <w:num w:numId="20" w16cid:durableId="511839148">
    <w:abstractNumId w:val="0"/>
  </w:num>
  <w:num w:numId="21" w16cid:durableId="1862477">
    <w:abstractNumId w:val="9"/>
  </w:num>
  <w:num w:numId="22" w16cid:durableId="750202935">
    <w:abstractNumId w:val="7"/>
  </w:num>
  <w:num w:numId="23" w16cid:durableId="1293901455">
    <w:abstractNumId w:val="6"/>
  </w:num>
  <w:num w:numId="24" w16cid:durableId="893463143">
    <w:abstractNumId w:val="5"/>
  </w:num>
  <w:num w:numId="25" w16cid:durableId="1075787174">
    <w:abstractNumId w:val="4"/>
  </w:num>
  <w:num w:numId="26" w16cid:durableId="696857728">
    <w:abstractNumId w:val="8"/>
  </w:num>
  <w:num w:numId="27" w16cid:durableId="680426731">
    <w:abstractNumId w:val="3"/>
  </w:num>
  <w:num w:numId="28" w16cid:durableId="1864517389">
    <w:abstractNumId w:val="2"/>
  </w:num>
  <w:num w:numId="29" w16cid:durableId="1607614757">
    <w:abstractNumId w:val="1"/>
  </w:num>
  <w:num w:numId="30" w16cid:durableId="5988591">
    <w:abstractNumId w:val="0"/>
  </w:num>
  <w:num w:numId="31" w16cid:durableId="873036419">
    <w:abstractNumId w:val="9"/>
  </w:num>
  <w:num w:numId="32" w16cid:durableId="322659847">
    <w:abstractNumId w:val="7"/>
  </w:num>
  <w:num w:numId="33" w16cid:durableId="1774283131">
    <w:abstractNumId w:val="6"/>
  </w:num>
  <w:num w:numId="34" w16cid:durableId="936595204">
    <w:abstractNumId w:val="5"/>
  </w:num>
  <w:num w:numId="35" w16cid:durableId="1037779163">
    <w:abstractNumId w:val="4"/>
  </w:num>
  <w:num w:numId="36" w16cid:durableId="825898069">
    <w:abstractNumId w:val="8"/>
  </w:num>
  <w:num w:numId="37" w16cid:durableId="429620774">
    <w:abstractNumId w:val="3"/>
  </w:num>
  <w:num w:numId="38" w16cid:durableId="1567110278">
    <w:abstractNumId w:val="2"/>
  </w:num>
  <w:num w:numId="39" w16cid:durableId="2103525873">
    <w:abstractNumId w:val="1"/>
  </w:num>
  <w:num w:numId="40" w16cid:durableId="627590543">
    <w:abstractNumId w:val="0"/>
  </w:num>
  <w:num w:numId="41" w16cid:durableId="1722049734">
    <w:abstractNumId w:val="10"/>
  </w:num>
  <w:num w:numId="42" w16cid:durableId="1667854652">
    <w:abstractNumId w:val="10"/>
  </w:num>
  <w:num w:numId="43" w16cid:durableId="83191681">
    <w:abstractNumId w:val="10"/>
  </w:num>
  <w:num w:numId="44" w16cid:durableId="4893236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PL"/>
    <w:docVar w:name="dvnumam" w:val="0"/>
    <w:docVar w:name="dvpe" w:val="776.838"/>
    <w:docVar w:name="dvrapporteur" w:val="Sprawozdawca: "/>
    <w:docVar w:name="dvtitre" w:val="Rezolucja Parlamentu Europejskiego z dnia  2025 r. w sprawie stanowiska Rady dotyczącego projektu budżetu korygującego Unii Europejskiej nr 2/2025 na rok budżetowy 2025 – aktualizacja dochodów (zasoby własne) i dostosowania w wydatkach(12353/2025 – C10-0209/2025 – 2025/0206(BUD))"/>
  </w:docVars>
  <w:rsids>
    <w:rsidRoot w:val="00A54D55"/>
    <w:rsid w:val="00002272"/>
    <w:rsid w:val="00064002"/>
    <w:rsid w:val="000677B9"/>
    <w:rsid w:val="000831BA"/>
    <w:rsid w:val="000A42CC"/>
    <w:rsid w:val="000E7DD9"/>
    <w:rsid w:val="0010095E"/>
    <w:rsid w:val="00125B37"/>
    <w:rsid w:val="00176081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A6A"/>
    <w:rsid w:val="005C2568"/>
    <w:rsid w:val="005F1B17"/>
    <w:rsid w:val="006037C0"/>
    <w:rsid w:val="006631B6"/>
    <w:rsid w:val="00680577"/>
    <w:rsid w:val="006A31F0"/>
    <w:rsid w:val="006F74FA"/>
    <w:rsid w:val="00731ADD"/>
    <w:rsid w:val="00734777"/>
    <w:rsid w:val="00747932"/>
    <w:rsid w:val="00751A4A"/>
    <w:rsid w:val="00756632"/>
    <w:rsid w:val="00762C74"/>
    <w:rsid w:val="007760EA"/>
    <w:rsid w:val="00786EC0"/>
    <w:rsid w:val="007D1690"/>
    <w:rsid w:val="007E22AD"/>
    <w:rsid w:val="00817416"/>
    <w:rsid w:val="0082452B"/>
    <w:rsid w:val="00842779"/>
    <w:rsid w:val="00865F67"/>
    <w:rsid w:val="00881A7B"/>
    <w:rsid w:val="008840E5"/>
    <w:rsid w:val="00887B3E"/>
    <w:rsid w:val="008C2AC6"/>
    <w:rsid w:val="008F4ABD"/>
    <w:rsid w:val="00930C23"/>
    <w:rsid w:val="0093193B"/>
    <w:rsid w:val="009509D8"/>
    <w:rsid w:val="00950B64"/>
    <w:rsid w:val="00981893"/>
    <w:rsid w:val="00A1687D"/>
    <w:rsid w:val="00A43E52"/>
    <w:rsid w:val="00A4678D"/>
    <w:rsid w:val="00A54D55"/>
    <w:rsid w:val="00A778C7"/>
    <w:rsid w:val="00AB441E"/>
    <w:rsid w:val="00AB6293"/>
    <w:rsid w:val="00AE0928"/>
    <w:rsid w:val="00AF3B82"/>
    <w:rsid w:val="00B12E95"/>
    <w:rsid w:val="00B22876"/>
    <w:rsid w:val="00B51C5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D33"/>
    <w:rsid w:val="00F04346"/>
    <w:rsid w:val="00F075DC"/>
    <w:rsid w:val="00F149E9"/>
    <w:rsid w:val="00F46854"/>
    <w:rsid w:val="00F5134D"/>
    <w:rsid w:val="00F74202"/>
    <w:rsid w:val="00F87713"/>
    <w:rsid w:val="00F923A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470FA"/>
  <w15:chartTrackingRefBased/>
  <w15:docId w15:val="{72455F1A-7BED-4FE0-8F96-25D1DDB1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E4D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E4D33"/>
    <w:pPr>
      <w:spacing w:before="480" w:after="240"/>
    </w:pPr>
  </w:style>
  <w:style w:type="paragraph" w:customStyle="1" w:styleId="PageHeading">
    <w:name w:val="PageHeading"/>
    <w:basedOn w:val="Normal"/>
    <w:rsid w:val="00EE4D3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EE4D3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E4D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E4D33"/>
    <w:rPr>
      <w:sz w:val="24"/>
      <w:lang w:val="pl-PL"/>
    </w:rPr>
  </w:style>
  <w:style w:type="paragraph" w:customStyle="1" w:styleId="EPFooter">
    <w:name w:val="EPFooter"/>
    <w:basedOn w:val="Normal"/>
    <w:rsid w:val="00EE4D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EE4D3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E4D33"/>
    <w:rPr>
      <w:sz w:val="24"/>
      <w:lang w:val="pl-PL"/>
    </w:rPr>
  </w:style>
  <w:style w:type="paragraph" w:customStyle="1" w:styleId="Normal24a">
    <w:name w:val="Normal24a"/>
    <w:basedOn w:val="Normal"/>
    <w:rsid w:val="00EE4D33"/>
    <w:pPr>
      <w:spacing w:after="480"/>
    </w:pPr>
  </w:style>
  <w:style w:type="paragraph" w:customStyle="1" w:styleId="Footprint12b">
    <w:name w:val="Footprint12b"/>
    <w:basedOn w:val="Normal"/>
    <w:rsid w:val="00EE4D33"/>
    <w:pPr>
      <w:spacing w:before="240"/>
    </w:pPr>
    <w:rPr>
      <w:szCs w:val="24"/>
    </w:rPr>
  </w:style>
  <w:style w:type="paragraph" w:styleId="Revision">
    <w:name w:val="Revision"/>
    <w:hidden/>
    <w:uiPriority w:val="99"/>
    <w:semiHidden/>
    <w:rsid w:val="008F4AB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1261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2025-10-08T15:20:00Z</dcterms:created>
  <dcterms:modified xsi:type="dcterms:W3CDTF">2025-10-08T15:20:00Z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A10-0165/2025</vt:lpwstr>
  </property>
  <property fmtid="{D5CDD505-2E9C-101B-9397-08002B2CF9AE}" pid="4" name="&lt;Type&gt;">
    <vt:lpwstr>RR</vt:lpwstr>
  </property>
</Properties>
</file>