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75254" w14:paraId="06EE955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11E5D45" w14:textId="77777777" w:rsidR="00751A4A" w:rsidRPr="00B75254" w:rsidRDefault="002626E7" w:rsidP="0010095E">
            <w:pPr>
              <w:pStyle w:val="EPName"/>
            </w:pPr>
            <w:r w:rsidRPr="00B75254">
              <w:t xml:space="preserve">Parlamento </w:t>
            </w:r>
            <w:proofErr w:type="gramStart"/>
            <w:r w:rsidRPr="00B75254">
              <w:t>Europeu</w:t>
            </w:r>
            <w:proofErr w:type="gramEnd"/>
          </w:p>
          <w:p w14:paraId="74ECF0C3" w14:textId="77777777" w:rsidR="00751A4A" w:rsidRPr="00B7525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75254">
              <w:t>2024</w:t>
            </w:r>
            <w:r w:rsidR="00817416" w:rsidRPr="00B75254">
              <w:t>-202</w:t>
            </w:r>
            <w:r w:rsidRPr="00B75254">
              <w:t>9</w:t>
            </w:r>
          </w:p>
        </w:tc>
        <w:tc>
          <w:tcPr>
            <w:tcW w:w="2268" w:type="dxa"/>
            <w:shd w:val="clear" w:color="auto" w:fill="auto"/>
          </w:tcPr>
          <w:p w14:paraId="40DD5ABB" w14:textId="77777777" w:rsidR="00751A4A" w:rsidRPr="00B75254" w:rsidRDefault="00187494" w:rsidP="0010095E">
            <w:pPr>
              <w:pStyle w:val="EPLogo"/>
            </w:pPr>
            <w:r w:rsidRPr="00B75254">
              <w:rPr>
                <w:noProof/>
                <w:lang w:eastAsia="ja-JP"/>
              </w:rPr>
              <w:drawing>
                <wp:inline distT="0" distB="0" distL="0" distR="0" wp14:anchorId="6F3C921D" wp14:editId="01BE55E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9E52466" w14:textId="77777777" w:rsidR="00D058B8" w:rsidRPr="00B75254" w:rsidRDefault="00D058B8" w:rsidP="004C5D52">
      <w:pPr>
        <w:pStyle w:val="LineTop"/>
      </w:pPr>
    </w:p>
    <w:p w14:paraId="36B20A16" w14:textId="77777777" w:rsidR="00680577" w:rsidRPr="00B75254" w:rsidRDefault="002626E7" w:rsidP="00680577">
      <w:pPr>
        <w:pStyle w:val="EPBodyTA1"/>
      </w:pPr>
      <w:r w:rsidRPr="00B75254">
        <w:t>TEXTOS APROVADOS</w:t>
      </w:r>
    </w:p>
    <w:p w14:paraId="6739CE33" w14:textId="77777777" w:rsidR="00D058B8" w:rsidRPr="00B75254" w:rsidRDefault="00D058B8" w:rsidP="00D058B8">
      <w:pPr>
        <w:pStyle w:val="LineBottom"/>
      </w:pPr>
    </w:p>
    <w:p w14:paraId="2FA85D0F" w14:textId="66A56E98" w:rsidR="002626E7" w:rsidRPr="00B75254" w:rsidRDefault="002626E7" w:rsidP="002626E7">
      <w:pPr>
        <w:pStyle w:val="ATHeading1"/>
      </w:pPr>
      <w:bookmarkStart w:id="0" w:name="TANumber"/>
      <w:r w:rsidRPr="00B75254">
        <w:t>P10_</w:t>
      </w:r>
      <w:proofErr w:type="gramStart"/>
      <w:r w:rsidRPr="00B75254">
        <w:t>TA(</w:t>
      </w:r>
      <w:proofErr w:type="gramEnd"/>
      <w:r w:rsidRPr="00B75254">
        <w:t>2025)0</w:t>
      </w:r>
      <w:r w:rsidR="00B75254" w:rsidRPr="00B75254">
        <w:t>218</w:t>
      </w:r>
      <w:bookmarkEnd w:id="0"/>
    </w:p>
    <w:p w14:paraId="6906DCD1" w14:textId="03BDE1AB" w:rsidR="002626E7" w:rsidRPr="00B75254" w:rsidRDefault="002626E7" w:rsidP="002626E7">
      <w:pPr>
        <w:pStyle w:val="ATHeading2"/>
      </w:pPr>
      <w:bookmarkStart w:id="1" w:name="title"/>
      <w:r w:rsidRPr="00B75254">
        <w:t>Projeto de orçamento retificativo n.º 2/2025</w:t>
      </w:r>
      <w:r w:rsidR="00B14E44" w:rsidRPr="00B75254">
        <w:t>:</w:t>
      </w:r>
      <w:r w:rsidRPr="00B75254">
        <w:t xml:space="preserve"> </w:t>
      </w:r>
      <w:r w:rsidR="00B14E44" w:rsidRPr="00B75254">
        <w:t>a</w:t>
      </w:r>
      <w:r w:rsidRPr="00B75254">
        <w:t>tualização das receitas (recursos próprios) e ajustamentos das despesas</w:t>
      </w:r>
      <w:bookmarkEnd w:id="1"/>
    </w:p>
    <w:p w14:paraId="47522BFF" w14:textId="77777777" w:rsidR="002626E7" w:rsidRPr="00B75254" w:rsidRDefault="002626E7" w:rsidP="002626E7">
      <w:pPr>
        <w:rPr>
          <w:i/>
          <w:vanish/>
        </w:rPr>
      </w:pPr>
      <w:r w:rsidRPr="00B75254">
        <w:rPr>
          <w:i/>
        </w:rPr>
        <w:fldChar w:fldCharType="begin"/>
      </w:r>
      <w:r w:rsidRPr="00B75254">
        <w:rPr>
          <w:i/>
        </w:rPr>
        <w:instrText xml:space="preserve"> TC"(</w:instrText>
      </w:r>
      <w:bookmarkStart w:id="2" w:name="DocNumber"/>
      <w:r w:rsidRPr="00B75254">
        <w:rPr>
          <w:i/>
        </w:rPr>
        <w:instrText>A10-0165/2025</w:instrText>
      </w:r>
      <w:bookmarkEnd w:id="2"/>
      <w:r w:rsidRPr="00B75254">
        <w:rPr>
          <w:i/>
        </w:rPr>
        <w:instrText xml:space="preserve"> - Relator: Victor </w:instrText>
      </w:r>
      <w:proofErr w:type="spellStart"/>
      <w:r w:rsidRPr="00B75254">
        <w:rPr>
          <w:i/>
        </w:rPr>
        <w:instrText>Negrescu</w:instrText>
      </w:r>
      <w:proofErr w:type="spellEnd"/>
      <w:r w:rsidRPr="00B75254">
        <w:rPr>
          <w:i/>
        </w:rPr>
        <w:instrText xml:space="preserve">)"\l3 \n&gt; \* MERGEFORMAT </w:instrText>
      </w:r>
      <w:r w:rsidRPr="00B75254">
        <w:rPr>
          <w:i/>
        </w:rPr>
        <w:fldChar w:fldCharType="end"/>
      </w:r>
    </w:p>
    <w:p w14:paraId="366EA8F5" w14:textId="77777777" w:rsidR="002626E7" w:rsidRPr="00B75254" w:rsidRDefault="002626E7" w:rsidP="002626E7">
      <w:pPr>
        <w:rPr>
          <w:vanish/>
        </w:rPr>
      </w:pPr>
      <w:bookmarkStart w:id="3" w:name="Commission"/>
      <w:r w:rsidRPr="00B75254">
        <w:rPr>
          <w:vanish/>
        </w:rPr>
        <w:t>Comissão dos Orçamentos</w:t>
      </w:r>
      <w:bookmarkEnd w:id="3"/>
    </w:p>
    <w:p w14:paraId="4E54983E" w14:textId="77777777" w:rsidR="002626E7" w:rsidRPr="00B75254" w:rsidRDefault="002626E7" w:rsidP="002626E7">
      <w:pPr>
        <w:rPr>
          <w:vanish/>
        </w:rPr>
      </w:pPr>
      <w:bookmarkStart w:id="4" w:name="PE"/>
      <w:r w:rsidRPr="00B75254">
        <w:rPr>
          <w:vanish/>
        </w:rPr>
        <w:t>PE776.838</w:t>
      </w:r>
      <w:bookmarkEnd w:id="4"/>
    </w:p>
    <w:p w14:paraId="1A0CB758" w14:textId="50EC324E" w:rsidR="002626E7" w:rsidRPr="00B75254" w:rsidRDefault="002626E7" w:rsidP="002626E7">
      <w:pPr>
        <w:pStyle w:val="ATHeading3"/>
      </w:pPr>
      <w:bookmarkStart w:id="5" w:name="Sujet"/>
      <w:r w:rsidRPr="00B75254">
        <w:t xml:space="preserve">Resolução do Parlamento Europeu, de </w:t>
      </w:r>
      <w:r w:rsidR="00B14E44" w:rsidRPr="00B75254">
        <w:t xml:space="preserve">8 </w:t>
      </w:r>
      <w:r w:rsidRPr="00B75254">
        <w:t xml:space="preserve">de </w:t>
      </w:r>
      <w:r w:rsidR="00B14E44" w:rsidRPr="00B75254">
        <w:t xml:space="preserve">outubro </w:t>
      </w:r>
      <w:r w:rsidRPr="00B75254">
        <w:t>de 2025, referente à posição do Conselho sobre o projeto de orçamento retificativo n.º 2/2025 da União Europeia para o exercício de 2025 — Atualização das receitas (recursos próprios) e ajustamentos das despesas</w:t>
      </w:r>
      <w:bookmarkEnd w:id="5"/>
      <w:r w:rsidRPr="00B75254">
        <w:t xml:space="preserve"> </w:t>
      </w:r>
      <w:bookmarkStart w:id="6" w:name="References"/>
      <w:r w:rsidRPr="00B75254">
        <w:t>(12353/2025 – C10-0209/2025 – 2025/0206(BUD))</w:t>
      </w:r>
      <w:bookmarkEnd w:id="6"/>
    </w:p>
    <w:p w14:paraId="685F4239" w14:textId="77777777" w:rsidR="00357104" w:rsidRPr="00B75254" w:rsidRDefault="00357104" w:rsidP="00357104">
      <w:pPr>
        <w:pStyle w:val="EPComma"/>
      </w:pPr>
      <w:bookmarkStart w:id="7" w:name="TextBodyBegin"/>
      <w:bookmarkEnd w:id="7"/>
      <w:r w:rsidRPr="00B75254">
        <w:rPr>
          <w:i/>
          <w:iCs/>
        </w:rPr>
        <w:t>O Parlamento Europeu</w:t>
      </w:r>
      <w:r w:rsidRPr="00B75254">
        <w:t>,</w:t>
      </w:r>
    </w:p>
    <w:p w14:paraId="297C7F24" w14:textId="77777777" w:rsidR="00357104" w:rsidRPr="00B75254" w:rsidRDefault="00357104" w:rsidP="00357104">
      <w:pPr>
        <w:pStyle w:val="NormalHanging12a"/>
      </w:pPr>
      <w:r w:rsidRPr="00B75254">
        <w:t>–</w:t>
      </w:r>
      <w:r w:rsidRPr="00B75254">
        <w:tab/>
        <w:t>Tendo em conta o artigo 314.º do Tratado sobre o Funcionamento da União Europeia,</w:t>
      </w:r>
    </w:p>
    <w:p w14:paraId="28265A47" w14:textId="77777777" w:rsidR="00357104" w:rsidRPr="00B75254" w:rsidRDefault="00357104" w:rsidP="00357104">
      <w:pPr>
        <w:pStyle w:val="NormalHanging12a"/>
      </w:pPr>
      <w:r w:rsidRPr="00B75254">
        <w:t>–</w:t>
      </w:r>
      <w:r w:rsidRPr="00B75254">
        <w:tab/>
        <w:t>Tendo em conta o artigo 106.º</w:t>
      </w:r>
      <w:r w:rsidRPr="00B75254">
        <w:noBreakHyphen/>
        <w:t>A do Tratado que institui a Comunidade Europeia da Energia Atómica,</w:t>
      </w:r>
    </w:p>
    <w:p w14:paraId="6262133B" w14:textId="77777777" w:rsidR="00357104" w:rsidRPr="00B75254" w:rsidRDefault="00357104" w:rsidP="00357104">
      <w:pPr>
        <w:pStyle w:val="NormalHanging12a"/>
      </w:pPr>
      <w:r w:rsidRPr="00B75254">
        <w:t>–</w:t>
      </w:r>
      <w:r w:rsidRPr="00B75254">
        <w:tab/>
        <w:t>Tendo em conta o Regulamento (UE, Euratom) 2024/2509 do Parlamento Europeu e do Conselho, de 23 de setembro de 2024, relativo às regras financeiras aplicáveis ao orçamento geral da União</w:t>
      </w:r>
      <w:r w:rsidRPr="00B75254">
        <w:rPr>
          <w:rStyle w:val="FootnoteReference"/>
        </w:rPr>
        <w:footnoteReference w:id="1"/>
      </w:r>
      <w:r w:rsidRPr="00B75254">
        <w:t>, nomeadamente o artigo 44.º,</w:t>
      </w:r>
    </w:p>
    <w:p w14:paraId="6788BC89" w14:textId="77777777" w:rsidR="00357104" w:rsidRPr="00B75254" w:rsidRDefault="00357104" w:rsidP="00357104">
      <w:pPr>
        <w:pStyle w:val="NormalHanging12a"/>
      </w:pPr>
      <w:r w:rsidRPr="00B75254">
        <w:t>–</w:t>
      </w:r>
      <w:r w:rsidRPr="00B75254">
        <w:tab/>
        <w:t>Tendo em conta o orçamento geral da União Europeia para o exercício de 2025, que foi definitivamente aprovado em 27 de novembro de 2024</w:t>
      </w:r>
      <w:r w:rsidRPr="00B75254">
        <w:rPr>
          <w:rStyle w:val="FootnoteReference"/>
        </w:rPr>
        <w:footnoteReference w:id="2"/>
      </w:r>
      <w:r w:rsidRPr="00B75254">
        <w:t>,</w:t>
      </w:r>
    </w:p>
    <w:p w14:paraId="03B5C883" w14:textId="2003238A" w:rsidR="00357104" w:rsidRPr="00B75254" w:rsidRDefault="00357104" w:rsidP="00357104">
      <w:pPr>
        <w:pStyle w:val="NormalHanging12a"/>
      </w:pPr>
      <w:r w:rsidRPr="00B75254">
        <w:t>–</w:t>
      </w:r>
      <w:r w:rsidRPr="00B75254">
        <w:tab/>
        <w:t xml:space="preserve">Tendo em conta o Regulamento (UE, Euratom) 2020/2093 do Conselho, de 17 de dezembro de 2020, que estabelece o quadro financeiro plurianual para o período </w:t>
      </w:r>
      <w:r w:rsidR="00B14E44" w:rsidRPr="00B75254">
        <w:t xml:space="preserve">de </w:t>
      </w:r>
      <w:r w:rsidRPr="00B75254">
        <w:t>2021 a 2027</w:t>
      </w:r>
      <w:r w:rsidRPr="00B75254">
        <w:rPr>
          <w:rStyle w:val="FootnoteReference"/>
        </w:rPr>
        <w:footnoteReference w:id="3"/>
      </w:r>
      <w:r w:rsidRPr="00B75254">
        <w:t>,</w:t>
      </w:r>
    </w:p>
    <w:p w14:paraId="6FD9FCEA" w14:textId="7894E2FD" w:rsidR="00357104" w:rsidRPr="00B75254" w:rsidRDefault="00357104" w:rsidP="00357104">
      <w:pPr>
        <w:pStyle w:val="NormalHanging12a"/>
      </w:pPr>
      <w:r w:rsidRPr="00B75254">
        <w:t>–</w:t>
      </w:r>
      <w:r w:rsidRPr="00B75254">
        <w:tab/>
        <w:t xml:space="preserve">Tendo em conta o Acordo Interinstitucional, de 16 de dezembro de 2020, entre o Parlamento Europeu, o Conselho </w:t>
      </w:r>
      <w:r w:rsidR="0087687B" w:rsidRPr="00B75254">
        <w:t xml:space="preserve">da União Europeia </w:t>
      </w:r>
      <w:r w:rsidRPr="00B75254">
        <w:t>e a Comissão</w:t>
      </w:r>
      <w:r w:rsidR="0087687B" w:rsidRPr="00B75254">
        <w:t xml:space="preserve"> Europeia</w:t>
      </w:r>
      <w:r w:rsidRPr="00B75254">
        <w:t xml:space="preserve"> sobre a disciplina orçamental, a cooperação em matéria orçamental e a boa gestão financeira, bem como sobre os novos recursos próprios, incluindo um roteiro para a introdução de </w:t>
      </w:r>
      <w:r w:rsidRPr="00B75254">
        <w:lastRenderedPageBreak/>
        <w:t>novos recursos próprios</w:t>
      </w:r>
      <w:r w:rsidRPr="00B75254">
        <w:rPr>
          <w:rStyle w:val="FootnoteReference"/>
        </w:rPr>
        <w:footnoteReference w:id="4"/>
      </w:r>
      <w:r w:rsidRPr="00B75254">
        <w:t>,</w:t>
      </w:r>
    </w:p>
    <w:p w14:paraId="18C8871C" w14:textId="77777777" w:rsidR="00357104" w:rsidRPr="00B75254" w:rsidRDefault="00357104" w:rsidP="00357104">
      <w:pPr>
        <w:pStyle w:val="NormalHanging12a"/>
      </w:pPr>
      <w:r w:rsidRPr="00B75254">
        <w:t>–</w:t>
      </w:r>
      <w:r w:rsidRPr="00B75254">
        <w:tab/>
        <w:t>Tendo em conta a Decisão (UE, Euratom) 2020/2053 do Conselho, de 14 de dezembro de 2020, relativa ao sistema de recursos próprios da União Europeia e que revoga a Decisão 2014/335/UE, Euratom</w:t>
      </w:r>
      <w:r w:rsidRPr="00B75254">
        <w:rPr>
          <w:rStyle w:val="FootnoteReference"/>
        </w:rPr>
        <w:footnoteReference w:id="5"/>
      </w:r>
      <w:r w:rsidRPr="00B75254">
        <w:t>,</w:t>
      </w:r>
    </w:p>
    <w:p w14:paraId="5FF3F870" w14:textId="77777777" w:rsidR="00357104" w:rsidRPr="00B75254" w:rsidRDefault="00357104" w:rsidP="00357104">
      <w:pPr>
        <w:pStyle w:val="NormalHanging12a"/>
      </w:pPr>
      <w:r w:rsidRPr="00B75254">
        <w:t>–</w:t>
      </w:r>
      <w:r w:rsidRPr="00B75254">
        <w:tab/>
        <w:t>Tendo em conta o projeto de orçamento retificativo n.º 2/2025, aprovado pela Comissão em 4 de julho de 2025 (</w:t>
      </w:r>
      <w:proofErr w:type="gramStart"/>
      <w:r w:rsidRPr="00B75254">
        <w:t>COM(</w:t>
      </w:r>
      <w:proofErr w:type="gramEnd"/>
      <w:r w:rsidRPr="00B75254">
        <w:t>2025)0410),</w:t>
      </w:r>
    </w:p>
    <w:p w14:paraId="2D8ED487" w14:textId="77777777" w:rsidR="00357104" w:rsidRPr="00B75254" w:rsidRDefault="00357104" w:rsidP="00357104">
      <w:pPr>
        <w:pStyle w:val="NormalHanging12a"/>
      </w:pPr>
      <w:r w:rsidRPr="00B75254">
        <w:t>–</w:t>
      </w:r>
      <w:r w:rsidRPr="00B75254">
        <w:tab/>
        <w:t>Tendo em conta a posição sobre o projeto de orçamento retificativo n.º 2/2025, adotada pelo Conselho em 16 de setembro de 2025 e transmitida ao Parlamento Europeu em 17 de setembro de 2025 (12353/2025 – C10</w:t>
      </w:r>
      <w:r w:rsidRPr="00B75254">
        <w:noBreakHyphen/>
        <w:t>0209/2025),</w:t>
      </w:r>
    </w:p>
    <w:p w14:paraId="5B7C11D6" w14:textId="77777777" w:rsidR="00357104" w:rsidRPr="00B75254" w:rsidRDefault="00357104" w:rsidP="00357104">
      <w:pPr>
        <w:pStyle w:val="NormalHanging12a"/>
      </w:pPr>
      <w:r w:rsidRPr="00B75254">
        <w:t>–</w:t>
      </w:r>
      <w:r w:rsidRPr="00B75254">
        <w:tab/>
        <w:t>Tendo em conta os artigos 96.º e 98.º do seu Regimento,</w:t>
      </w:r>
    </w:p>
    <w:p w14:paraId="41C533EE" w14:textId="77777777" w:rsidR="00357104" w:rsidRPr="00B75254" w:rsidRDefault="00357104" w:rsidP="00357104">
      <w:pPr>
        <w:pStyle w:val="NormalHanging12a"/>
      </w:pPr>
      <w:r w:rsidRPr="00B75254">
        <w:t>–</w:t>
      </w:r>
      <w:r w:rsidRPr="00B75254">
        <w:tab/>
        <w:t>Tendo em conta o relatório da Comissão dos Orçamentos (A10</w:t>
      </w:r>
      <w:r w:rsidRPr="00B75254">
        <w:noBreakHyphen/>
        <w:t>0165/2025),</w:t>
      </w:r>
    </w:p>
    <w:p w14:paraId="45660E99" w14:textId="7CABE1DD" w:rsidR="00357104" w:rsidRPr="00B75254" w:rsidRDefault="00357104" w:rsidP="00357104">
      <w:pPr>
        <w:pStyle w:val="NormalHanging12a"/>
      </w:pPr>
      <w:r w:rsidRPr="00B75254">
        <w:t>A.</w:t>
      </w:r>
      <w:r w:rsidRPr="00B75254">
        <w:tab/>
        <w:t>Considerando que o projeto de orçamento retificativo n.º 2/2025 tem por objetivo atualizar o lado das receitas do orçamento, a fim de ter em conta a evolução mais recente da situação e, além disso, ajustar o lado das despesas do orçamento no que respeita a algumas agências descentralizadas</w:t>
      </w:r>
      <w:r w:rsidR="0087687B" w:rsidRPr="00B75254">
        <w:t>;</w:t>
      </w:r>
    </w:p>
    <w:p w14:paraId="774AD4F3" w14:textId="77777777" w:rsidR="00357104" w:rsidRPr="00B75254" w:rsidRDefault="00357104" w:rsidP="00357104">
      <w:pPr>
        <w:pStyle w:val="NormalHanging12a"/>
      </w:pPr>
      <w:r w:rsidRPr="00B75254">
        <w:t>B.</w:t>
      </w:r>
      <w:r w:rsidRPr="00B75254">
        <w:tab/>
        <w:t>Considerando que o projeto de orçamento retificativo n.º 2/2025 implica uma revisão das previsões de recursos próprios relativas a direitos aduaneiros, que são 1 % inferiores às previsões de maio de 2024, à matéria coletável IVA não nivelada, que é 2,4 % inferior às previsões de maio de 2024, à matéria coletável relativa aos resíduos de embalagens de plástico não reciclados, que é 3,5 % inferior às previsões de maio de 2024, e ao RNB total da UE, que é 0,5 % superior às previsões de maio de 2024;</w:t>
      </w:r>
    </w:p>
    <w:p w14:paraId="0CD87886" w14:textId="77777777" w:rsidR="00357104" w:rsidRPr="00B75254" w:rsidRDefault="00357104" w:rsidP="00357104">
      <w:pPr>
        <w:pStyle w:val="NormalHanging12a"/>
      </w:pPr>
      <w:r w:rsidRPr="00B75254">
        <w:t>C.</w:t>
      </w:r>
      <w:r w:rsidRPr="00B75254">
        <w:tab/>
        <w:t>Considerando que o projeto de orçamento retificativo n.º 2/2025 atualiza igualmente a contribuição do Reino Unido para 2025 ao abrigo do Acordo de Saída, que ascende a 1,53 mil milhões de EUR, o que corresponde a uma redução modesta de 25 milhões de EUR em comparação com a estimativa incluída no orçamento de 2025;</w:t>
      </w:r>
    </w:p>
    <w:p w14:paraId="67946519" w14:textId="77777777" w:rsidR="00357104" w:rsidRPr="00B75254" w:rsidRDefault="00357104" w:rsidP="00357104">
      <w:pPr>
        <w:pStyle w:val="NormalHanging12a"/>
      </w:pPr>
      <w:r w:rsidRPr="00B75254">
        <w:t>D.</w:t>
      </w:r>
      <w:r w:rsidRPr="00B75254">
        <w:tab/>
        <w:t>Considerando que o projeto de orçamento retificativo n.º 2/2025 tem igualmente em conta as coimas, as sanções por infração e os rendimentos negativos até ao final de maio de 2025, o que aumenta em 291 milhões de EUR a previsão inicial de coimas e sanções no orçamento de 2025;</w:t>
      </w:r>
    </w:p>
    <w:p w14:paraId="42F767AB" w14:textId="77777777" w:rsidR="00357104" w:rsidRPr="00B75254" w:rsidRDefault="00357104" w:rsidP="00357104">
      <w:pPr>
        <w:pStyle w:val="NormalHanging12a"/>
      </w:pPr>
      <w:r w:rsidRPr="00B75254">
        <w:t>E.</w:t>
      </w:r>
      <w:r w:rsidRPr="00B75254">
        <w:tab/>
        <w:t>Considerando que, do lado das despesas, o projeto de orçamento retificativo n.º 2/2025 propõe uma série de atualizações das dotações de autorização e de pagamento, sobretudo um reforço de 3,5 mil milhões de EUR em pagamentos para o Fundo Europeu Agrícola de Desenvolvimento Rural,</w:t>
      </w:r>
    </w:p>
    <w:p w14:paraId="2850E111" w14:textId="77777777" w:rsidR="00357104" w:rsidRPr="00B75254" w:rsidRDefault="00357104" w:rsidP="00357104">
      <w:pPr>
        <w:pStyle w:val="NormalHanging12a"/>
      </w:pPr>
      <w:r w:rsidRPr="00B75254">
        <w:t>1.</w:t>
      </w:r>
      <w:r w:rsidRPr="00B75254">
        <w:tab/>
        <w:t>Toma nota do projeto de orçamento retificativo n.º 2/2025 apresentado pela Comissão;</w:t>
      </w:r>
    </w:p>
    <w:p w14:paraId="41D709C4" w14:textId="77777777" w:rsidR="00357104" w:rsidRPr="00B75254" w:rsidRDefault="00357104" w:rsidP="00357104">
      <w:pPr>
        <w:pStyle w:val="NormalHanging12a"/>
      </w:pPr>
      <w:r w:rsidRPr="00B75254">
        <w:t>2.</w:t>
      </w:r>
      <w:r w:rsidRPr="00B75254">
        <w:tab/>
        <w:t xml:space="preserve">Regista que a diminuição do montante dos recursos próprios que não o RNB e as necessidades de pagamento adicionais do lado das despesas resultam num aumento </w:t>
      </w:r>
      <w:r w:rsidRPr="00B75254">
        <w:lastRenderedPageBreak/>
        <w:t>global das necessidades em termos de contribuições baseadas no RNB de 4,3 mil milhões de EUR; reconhece que tal implica uma alteração da taxa uniforme de mobilização do RNB, de 0,527 % (no projeto de orçamento retificativo n.º 1/2025) para 0,547 % (no projeto de orçamento retificativo n.º 2/2025);</w:t>
      </w:r>
    </w:p>
    <w:p w14:paraId="719E6DB5" w14:textId="750658EE" w:rsidR="00357104" w:rsidRPr="00B75254" w:rsidRDefault="00357104" w:rsidP="00357104">
      <w:pPr>
        <w:pStyle w:val="NormalHanging12a"/>
      </w:pPr>
      <w:r w:rsidRPr="00B75254">
        <w:t>3.</w:t>
      </w:r>
      <w:r w:rsidRPr="00B75254">
        <w:tab/>
        <w:t>Sublinha que, com o projeto de orçamento retificativo n.º 2/2025, as reduções do montante fixo do RNB para os cinco Estados</w:t>
      </w:r>
      <w:r w:rsidRPr="00B75254">
        <w:noBreakHyphen/>
        <w:t xml:space="preserve">Membros beneficiários ascendem a perto de 9,2 mil milhões de EUR (montante bruto); realça que estes abatimentos são indexados à inflação, tendo por isso aumentado a um ritmo mais elevado do que os limites máximos do </w:t>
      </w:r>
      <w:r w:rsidR="00367D06" w:rsidRPr="00B75254">
        <w:t>quadro financeiro plurianual (</w:t>
      </w:r>
      <w:r w:rsidRPr="00B75254">
        <w:t>QFP</w:t>
      </w:r>
      <w:r w:rsidR="00367D06" w:rsidRPr="00B75254">
        <w:t>)</w:t>
      </w:r>
      <w:r w:rsidRPr="00B75254">
        <w:t>, que são ajustados anualmente com base no deflator de 2 %; salienta que o orçamento da União tem sido consideravelmente solicitado para dar resposta a diversas crises nos últimos anos; sublinha que esta anomalia no que respeita a abatimentos aumenta o encargo para os demais Estados</w:t>
      </w:r>
      <w:r w:rsidRPr="00B75254">
        <w:noBreakHyphen/>
        <w:t>Membros;</w:t>
      </w:r>
    </w:p>
    <w:p w14:paraId="65E399DC" w14:textId="77777777" w:rsidR="00357104" w:rsidRPr="00B75254" w:rsidRDefault="00357104" w:rsidP="00357104">
      <w:pPr>
        <w:pStyle w:val="NormalHanging12a"/>
      </w:pPr>
      <w:r w:rsidRPr="00B75254">
        <w:t>4.</w:t>
      </w:r>
      <w:r w:rsidRPr="00B75254">
        <w:tab/>
        <w:t>Congratula</w:t>
      </w:r>
      <w:r w:rsidRPr="00B75254">
        <w:noBreakHyphen/>
        <w:t xml:space="preserve">se com os novos esforços da Comissão no sentido de apresentar mais opções para novas fontes de receitas para o orçamento da União; regista, a este respeito, a proposta de decisão do Conselho de 16 de julho de 2025, apresentada pela Comissão, relativa ao sistema de recursos próprios da União Europeia; considera que é necessária a rápida adoção de novos recursos próprios de modo a aumentar os recursos disponíveis para o orçamento; sublinha que os novos recursos próprios têm de ser equitativos e são essenciais, não só para permitir o reembolso dos empréstimos contraídos no âmbito do </w:t>
      </w:r>
      <w:proofErr w:type="spellStart"/>
      <w:r w:rsidRPr="00B75254">
        <w:t>NextGenerationEU</w:t>
      </w:r>
      <w:proofErr w:type="spellEnd"/>
      <w:r w:rsidRPr="00B75254">
        <w:t>, mas também para garantir que a União esteja preparada para cobrir as suas necessidades acrescidas em matéria de despesas; relembra, neste contexto, a posição que sempre tem defendido de que os ganhos excecionais decorrentes do pagamento de coimas e sanções, ou de montantes equivalentes, devem ser utilizados como receita adicional para o orçamento da União, para reagir a crises ou responder a necessidades imprevistas, e não devem conduzir a uma diminuição correspondente das contribuições baseadas no RNB; salienta que, no atual QFP, esses montantes são «devolvidos» aos Estados</w:t>
      </w:r>
      <w:r w:rsidRPr="00B75254">
        <w:noBreakHyphen/>
        <w:t>Membros;</w:t>
      </w:r>
    </w:p>
    <w:p w14:paraId="67927658" w14:textId="77777777" w:rsidR="00357104" w:rsidRPr="00B75254" w:rsidRDefault="00357104" w:rsidP="00357104">
      <w:pPr>
        <w:pStyle w:val="NormalHanging12a"/>
      </w:pPr>
      <w:r w:rsidRPr="00B75254">
        <w:t>5.</w:t>
      </w:r>
      <w:r w:rsidRPr="00B75254">
        <w:tab/>
        <w:t>Frisa que os ensinamentos retirados das crises recentes — pandemia, choques energéticos e guerra na Ucrânia — exigem uma reflexão séria sobre a flexibilidade no próximo QFP; reitera a sua posição de que o futuro Instrumento de Flexibilidade deve ser alimentado através de uma série de fontes de financiamento adicionais, incluindo o excedente anual do ano anterior, coimas e reembolsos; toma nota das disposições pertinentes da proposta de Regulamento QFP, em que a Comissão propõe acrescentar determinados montantes ao Instrumento de Flexibilidade, em conformidade com as exigências de longa data do Parlamento; recorda, no entanto, que a flexibilidade não deve existir em detrimento da transparência;</w:t>
      </w:r>
    </w:p>
    <w:p w14:paraId="78D2FD9C" w14:textId="77777777" w:rsidR="00357104" w:rsidRPr="00B75254" w:rsidRDefault="00357104" w:rsidP="00357104">
      <w:pPr>
        <w:pStyle w:val="NormalHanging12a"/>
      </w:pPr>
      <w:r w:rsidRPr="00B75254">
        <w:t>6.</w:t>
      </w:r>
      <w:r w:rsidRPr="00B75254">
        <w:tab/>
        <w:t>Congratula</w:t>
      </w:r>
      <w:r w:rsidRPr="00B75254">
        <w:noBreakHyphen/>
        <w:t>se com os ajustamentos em alta das dotações de pagamento para o Fundo de Desenvolvimento Rural, indicando que a execução dos planos estratégicos da PAC para 2023–2027, bem como as intervenções no âmbito dos programas de 2014–2020, estão a acelerar e, por conseguinte, a compensar atrasos em exercícios orçamentais anteriores;</w:t>
      </w:r>
    </w:p>
    <w:p w14:paraId="51583C3D" w14:textId="77777777" w:rsidR="00357104" w:rsidRPr="00B75254" w:rsidRDefault="00357104" w:rsidP="00357104">
      <w:pPr>
        <w:pStyle w:val="NormalHanging12a"/>
      </w:pPr>
      <w:r w:rsidRPr="00B75254">
        <w:t>7.</w:t>
      </w:r>
      <w:r w:rsidRPr="00B75254">
        <w:tab/>
        <w:t>Louva as atuais melhorias no domínio do Mecanismo de Ajustamento Carbónico Fronteiriço (CBAM), mas interroga</w:t>
      </w:r>
      <w:r w:rsidRPr="00B75254">
        <w:noBreakHyphen/>
        <w:t>se sobre a razão pela qual uma simplificação do Regulamento CBAM deve implicar um aumento das necessidades na ordem dos 8 milhões de EUR, em vez de uma redução devido a ganhos de eficiência;</w:t>
      </w:r>
    </w:p>
    <w:p w14:paraId="410BBFA9" w14:textId="77777777" w:rsidR="00357104" w:rsidRPr="00B75254" w:rsidRDefault="00357104" w:rsidP="00357104">
      <w:pPr>
        <w:pStyle w:val="NormalHanging12a"/>
      </w:pPr>
      <w:r w:rsidRPr="00B75254">
        <w:lastRenderedPageBreak/>
        <w:t>8.</w:t>
      </w:r>
      <w:r w:rsidRPr="00B75254">
        <w:tab/>
        <w:t xml:space="preserve">Considera ainda questionável a compensação das necessidades adicionais do sistema aduaneiro centralizado na rubrica 1 e do CBAM na rubrica 3, através de uma redução proporcional das dotações ao abrigo do Instrumento de apoio financeiro aos equipamentos de controlo aduaneiro na rubrica 4; lamenta que a atual situação orçamental tenha levado a Comissão a </w:t>
      </w:r>
      <w:proofErr w:type="spellStart"/>
      <w:r w:rsidRPr="00B75254">
        <w:t>reafetar</w:t>
      </w:r>
      <w:proofErr w:type="spellEnd"/>
      <w:r w:rsidRPr="00B75254">
        <w:t xml:space="preserve"> fundos consideráveis a várias rubricas e recorda a sua posição de longa data de que as novas prioridades, tarefas ou necessidades políticas devem ser acompanhadas de novos fundos; realça insistentemente que as </w:t>
      </w:r>
      <w:proofErr w:type="spellStart"/>
      <w:r w:rsidRPr="00B75254">
        <w:t>reafetações</w:t>
      </w:r>
      <w:proofErr w:type="spellEnd"/>
      <w:r w:rsidRPr="00B75254">
        <w:t xml:space="preserve"> recorrentes não representam uma forma viável de financiar as prioridades da União, uma vez que prejudicam os investimentos e comprometem a consecução dos objetivos políticos acordados;</w:t>
      </w:r>
    </w:p>
    <w:p w14:paraId="7AC48584" w14:textId="77777777" w:rsidR="00357104" w:rsidRPr="00B75254" w:rsidRDefault="00357104" w:rsidP="00357104">
      <w:pPr>
        <w:pStyle w:val="NormalHanging12a"/>
      </w:pPr>
      <w:r w:rsidRPr="00B75254">
        <w:t>9.</w:t>
      </w:r>
      <w:r w:rsidRPr="00B75254">
        <w:tab/>
        <w:t>Salienta que algumas alterações ao quadro de pessoal da Autoridade da UE para o Combate ao Branqueamento de Capitais permitirão que esta agência desempenhe as suas funções de forma atempada e eficiente e regozija</w:t>
      </w:r>
      <w:r w:rsidRPr="00B75254">
        <w:noBreakHyphen/>
        <w:t>se com este facto; recorda que esta instituição fundamental desempenha um papel central na proteção do dinheiro dos contribuintes e tem sido fortemente apoiada pelo Parlamento Europeu;</w:t>
      </w:r>
    </w:p>
    <w:p w14:paraId="604311F6" w14:textId="77777777" w:rsidR="00357104" w:rsidRPr="00B75254" w:rsidRDefault="00357104" w:rsidP="00357104">
      <w:pPr>
        <w:pStyle w:val="NormalHanging12a"/>
      </w:pPr>
      <w:r w:rsidRPr="00B75254">
        <w:t>10.</w:t>
      </w:r>
      <w:r w:rsidRPr="00B75254">
        <w:tab/>
        <w:t>Congratula</w:t>
      </w:r>
      <w:r w:rsidRPr="00B75254">
        <w:noBreakHyphen/>
        <w:t>se com os progressos registados pela Bulgária rumo à introdução do euro e apoia plenamente os meios adicionais para acompanhar a transição cambial com atividades de comunicação adequadas e específicas; reconhece que, devido à inexistência de margem não afetada na rubrica 2</w:t>
      </w:r>
      <w:r w:rsidRPr="00B75254">
        <w:noBreakHyphen/>
        <w:t>B, o Instrumento de Flexibilidade deve ser mobilizado para este efeito;</w:t>
      </w:r>
    </w:p>
    <w:p w14:paraId="0814F1B2" w14:textId="77777777" w:rsidR="00357104" w:rsidRPr="00B75254" w:rsidRDefault="00357104" w:rsidP="00357104">
      <w:pPr>
        <w:pStyle w:val="NormalHanging12a"/>
      </w:pPr>
      <w:r w:rsidRPr="00B75254">
        <w:t>11.</w:t>
      </w:r>
      <w:r w:rsidRPr="00B75254">
        <w:tab/>
        <w:t>Aprova a posição do Conselho sobre o projeto de orçamento retificativo n.º 2/2025;</w:t>
      </w:r>
    </w:p>
    <w:p w14:paraId="2688FFA6" w14:textId="77777777" w:rsidR="00357104" w:rsidRPr="00B75254" w:rsidRDefault="00357104" w:rsidP="00357104">
      <w:pPr>
        <w:pStyle w:val="NormalHanging12a"/>
      </w:pPr>
      <w:r w:rsidRPr="00B75254">
        <w:t>12.</w:t>
      </w:r>
      <w:r w:rsidRPr="00B75254">
        <w:tab/>
        <w:t xml:space="preserve">Encarrega a sua Presidente de declarar o orçamento retificativo n.º 2/2025 definitivamente aprovado e de prover à respetiva publicação no </w:t>
      </w:r>
      <w:r w:rsidRPr="00B75254">
        <w:rPr>
          <w:i/>
          <w:iCs/>
        </w:rPr>
        <w:t>Jornal Oficial da União Europeia</w:t>
      </w:r>
      <w:r w:rsidRPr="00B75254">
        <w:t>;</w:t>
      </w:r>
    </w:p>
    <w:p w14:paraId="70C44FCE" w14:textId="76369C55" w:rsidR="001F740A" w:rsidRPr="00B75254" w:rsidRDefault="00357104" w:rsidP="001F740A">
      <w:pPr>
        <w:pStyle w:val="NormalHanging12a"/>
      </w:pPr>
      <w:r w:rsidRPr="00B75254">
        <w:t>13.</w:t>
      </w:r>
      <w:r w:rsidRPr="00B75254">
        <w:tab/>
        <w:t>Encarrega a sua Presidente de transmitir a presente resolução ao Conselho e à Comissão, às restantes Instituições e aos órgãos interessados, bem como aos parlamentos nacionais.</w:t>
      </w:r>
    </w:p>
    <w:p w14:paraId="7989FDCB" w14:textId="1C67FC71" w:rsidR="00E365E1" w:rsidRPr="00B75254" w:rsidRDefault="00E365E1" w:rsidP="002626E7"/>
    <w:sectPr w:rsidR="00E365E1" w:rsidRPr="00B75254" w:rsidSect="001F740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0FCAA3" w14:textId="77777777" w:rsidR="002626E7" w:rsidRPr="001F740A" w:rsidRDefault="002626E7">
      <w:r w:rsidRPr="001F740A">
        <w:separator/>
      </w:r>
    </w:p>
  </w:endnote>
  <w:endnote w:type="continuationSeparator" w:id="0">
    <w:p w14:paraId="3C672C6A" w14:textId="77777777" w:rsidR="002626E7" w:rsidRPr="001F740A" w:rsidRDefault="002626E7">
      <w:r w:rsidRPr="001F740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92909E" w14:textId="77777777" w:rsidR="00064002" w:rsidRPr="001F740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2695B3" w14:textId="77777777" w:rsidR="00064002" w:rsidRPr="001F740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430FD8" w14:textId="77777777" w:rsidR="00064002" w:rsidRPr="001F740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2FE0F7" w14:textId="77777777" w:rsidR="002626E7" w:rsidRPr="001F740A" w:rsidRDefault="002626E7">
      <w:r w:rsidRPr="001F740A">
        <w:separator/>
      </w:r>
    </w:p>
  </w:footnote>
  <w:footnote w:type="continuationSeparator" w:id="0">
    <w:p w14:paraId="2AA27225" w14:textId="77777777" w:rsidR="002626E7" w:rsidRPr="001F740A" w:rsidRDefault="002626E7">
      <w:r w:rsidRPr="001F740A">
        <w:continuationSeparator/>
      </w:r>
    </w:p>
  </w:footnote>
  <w:footnote w:id="1">
    <w:p w14:paraId="636B5F62" w14:textId="05DEBAD0" w:rsidR="00357104" w:rsidRPr="00B75254" w:rsidRDefault="00357104" w:rsidP="001F740A">
      <w:pPr>
        <w:pStyle w:val="FootnoteText"/>
        <w:ind w:left="567" w:hanging="567"/>
        <w:rPr>
          <w:sz w:val="24"/>
          <w:lang w:val="fi-FI"/>
        </w:rPr>
      </w:pPr>
      <w:r w:rsidRPr="001F740A">
        <w:rPr>
          <w:rStyle w:val="FootnoteReference"/>
          <w:sz w:val="24"/>
          <w:lang w:val="pt-PT"/>
        </w:rPr>
        <w:footnoteRef/>
      </w:r>
      <w:r w:rsidR="001F740A" w:rsidRPr="00B75254">
        <w:rPr>
          <w:sz w:val="24"/>
          <w:lang w:val="fi-FI"/>
        </w:rPr>
        <w:t xml:space="preserve"> </w:t>
      </w:r>
      <w:r w:rsidR="001F740A" w:rsidRPr="00B75254">
        <w:rPr>
          <w:sz w:val="24"/>
          <w:lang w:val="fi-FI"/>
        </w:rPr>
        <w:tab/>
      </w:r>
      <w:r w:rsidRPr="00B75254">
        <w:rPr>
          <w:sz w:val="24"/>
          <w:lang w:val="fi-FI"/>
        </w:rPr>
        <w:t xml:space="preserve">JO L, 2024/2509, 26.9.2024, ELI: </w:t>
      </w:r>
      <w:hyperlink r:id="rId1" w:history="1">
        <w:r w:rsidRPr="00B75254">
          <w:rPr>
            <w:rStyle w:val="Hyperlink"/>
            <w:sz w:val="24"/>
            <w:lang w:val="fi-FI"/>
          </w:rPr>
          <w:t>http://data.europa.eu/eli/reg/2024/2509/oj</w:t>
        </w:r>
      </w:hyperlink>
      <w:r w:rsidRPr="00B75254">
        <w:rPr>
          <w:sz w:val="24"/>
          <w:lang w:val="fi-FI"/>
        </w:rPr>
        <w:t>.</w:t>
      </w:r>
    </w:p>
  </w:footnote>
  <w:footnote w:id="2">
    <w:p w14:paraId="2937313B" w14:textId="4D6188C8" w:rsidR="00357104" w:rsidRPr="00B75254" w:rsidRDefault="00357104" w:rsidP="001F740A">
      <w:pPr>
        <w:pStyle w:val="FootnoteText"/>
        <w:ind w:left="567" w:hanging="567"/>
        <w:rPr>
          <w:rStyle w:val="Hyperlink"/>
          <w:sz w:val="24"/>
          <w:lang w:val="fi-FI"/>
        </w:rPr>
      </w:pPr>
      <w:r w:rsidRPr="001F740A">
        <w:rPr>
          <w:rStyle w:val="FootnoteReference"/>
          <w:sz w:val="24"/>
          <w:lang w:val="pt-PT"/>
        </w:rPr>
        <w:footnoteRef/>
      </w:r>
      <w:r w:rsidR="001F740A" w:rsidRPr="00B75254">
        <w:rPr>
          <w:sz w:val="24"/>
          <w:lang w:val="fi-FI"/>
        </w:rPr>
        <w:t xml:space="preserve"> </w:t>
      </w:r>
      <w:r w:rsidR="001F740A" w:rsidRPr="00B75254">
        <w:rPr>
          <w:sz w:val="24"/>
          <w:lang w:val="fi-FI"/>
        </w:rPr>
        <w:tab/>
      </w:r>
      <w:r w:rsidRPr="00B75254">
        <w:rPr>
          <w:sz w:val="24"/>
          <w:lang w:val="fi-FI"/>
        </w:rPr>
        <w:t xml:space="preserve">JO L, 2025/31, 27.2.2025, ELI: </w:t>
      </w:r>
      <w:hyperlink r:id="rId2" w:history="1">
        <w:r w:rsidRPr="00B75254">
          <w:rPr>
            <w:rStyle w:val="Hyperlink"/>
            <w:sz w:val="24"/>
            <w:lang w:val="fi-FI"/>
          </w:rPr>
          <w:t>http://data.europa.eu/eli/budget/2025/31/oj</w:t>
        </w:r>
      </w:hyperlink>
      <w:r w:rsidRPr="00B75254">
        <w:rPr>
          <w:sz w:val="24"/>
          <w:lang w:val="fi-FI"/>
        </w:rPr>
        <w:t>.</w:t>
      </w:r>
    </w:p>
  </w:footnote>
  <w:footnote w:id="3">
    <w:p w14:paraId="45687D39" w14:textId="7C08C946" w:rsidR="00357104" w:rsidRPr="00B75254" w:rsidRDefault="00357104" w:rsidP="001F740A">
      <w:pPr>
        <w:pStyle w:val="FootnoteText"/>
        <w:ind w:left="567" w:hanging="567"/>
        <w:rPr>
          <w:rStyle w:val="Hyperlink"/>
          <w:sz w:val="24"/>
          <w:lang w:val="da-DK"/>
        </w:rPr>
      </w:pPr>
      <w:r w:rsidRPr="001F740A">
        <w:rPr>
          <w:rStyle w:val="FootnoteReference"/>
          <w:sz w:val="24"/>
          <w:lang w:val="pt-PT"/>
        </w:rPr>
        <w:footnoteRef/>
      </w:r>
      <w:r w:rsidR="001F740A" w:rsidRPr="00B75254">
        <w:rPr>
          <w:sz w:val="24"/>
          <w:lang w:val="da-DK"/>
        </w:rPr>
        <w:t xml:space="preserve"> </w:t>
      </w:r>
      <w:r w:rsidR="001F740A" w:rsidRPr="00B75254">
        <w:rPr>
          <w:sz w:val="24"/>
          <w:lang w:val="da-DK"/>
        </w:rPr>
        <w:tab/>
      </w:r>
      <w:r w:rsidRPr="00B75254">
        <w:rPr>
          <w:sz w:val="24"/>
          <w:lang w:val="da-DK"/>
        </w:rPr>
        <w:t>JO L 433 I de 22.12.2020, p. 11, ELI:</w:t>
      </w:r>
      <w:r w:rsidR="00B14E44" w:rsidRPr="00B75254">
        <w:rPr>
          <w:sz w:val="24"/>
          <w:lang w:val="da-DK"/>
        </w:rPr>
        <w:t xml:space="preserve"> </w:t>
      </w:r>
      <w:hyperlink r:id="rId3" w:history="1">
        <w:r w:rsidR="00B14E44" w:rsidRPr="00B75254">
          <w:rPr>
            <w:rStyle w:val="Hyperlink"/>
            <w:sz w:val="24"/>
            <w:lang w:val="da-DK"/>
          </w:rPr>
          <w:t>http://data.europa.eu/eli/reg/2020/2093/oj</w:t>
        </w:r>
      </w:hyperlink>
      <w:r w:rsidRPr="00B75254">
        <w:rPr>
          <w:sz w:val="24"/>
          <w:lang w:val="da-DK"/>
        </w:rPr>
        <w:t>.</w:t>
      </w:r>
    </w:p>
  </w:footnote>
  <w:footnote w:id="4">
    <w:p w14:paraId="5498D6E9" w14:textId="2315C7D8" w:rsidR="00357104" w:rsidRPr="00B75254" w:rsidRDefault="00357104" w:rsidP="001F740A">
      <w:pPr>
        <w:pStyle w:val="FootnoteText"/>
        <w:ind w:left="567" w:hanging="567"/>
        <w:rPr>
          <w:sz w:val="24"/>
          <w:lang w:val="da-DK"/>
        </w:rPr>
      </w:pPr>
      <w:r w:rsidRPr="001F740A">
        <w:rPr>
          <w:rStyle w:val="FootnoteReference"/>
          <w:sz w:val="24"/>
          <w:lang w:val="pt-PT"/>
        </w:rPr>
        <w:footnoteRef/>
      </w:r>
      <w:r w:rsidR="001F740A" w:rsidRPr="00B75254">
        <w:rPr>
          <w:sz w:val="24"/>
          <w:lang w:val="da-DK"/>
        </w:rPr>
        <w:t xml:space="preserve"> </w:t>
      </w:r>
      <w:r w:rsidR="001F740A" w:rsidRPr="00B75254">
        <w:rPr>
          <w:sz w:val="24"/>
          <w:lang w:val="da-DK"/>
        </w:rPr>
        <w:tab/>
      </w:r>
      <w:r w:rsidRPr="00B75254">
        <w:rPr>
          <w:sz w:val="24"/>
          <w:lang w:val="da-DK"/>
        </w:rPr>
        <w:t xml:space="preserve">JO L 433 I de 22.12.2020, p. 28, ELI: </w:t>
      </w:r>
      <w:hyperlink r:id="rId4" w:history="1">
        <w:r w:rsidRPr="00B75254">
          <w:rPr>
            <w:rStyle w:val="Hyperlink"/>
            <w:sz w:val="24"/>
            <w:lang w:val="da-DK"/>
          </w:rPr>
          <w:t>http://data.europa.eu/eli/agree_interinstit/2020/1222/oj</w:t>
        </w:r>
      </w:hyperlink>
      <w:r w:rsidRPr="00B75254">
        <w:rPr>
          <w:sz w:val="24"/>
          <w:lang w:val="da-DK"/>
        </w:rPr>
        <w:t>.</w:t>
      </w:r>
    </w:p>
  </w:footnote>
  <w:footnote w:id="5">
    <w:p w14:paraId="0679955F" w14:textId="456AD274" w:rsidR="00357104" w:rsidRPr="001F740A" w:rsidRDefault="00357104" w:rsidP="001F740A">
      <w:pPr>
        <w:pStyle w:val="FootnoteText"/>
        <w:ind w:left="567" w:hanging="567"/>
        <w:rPr>
          <w:sz w:val="24"/>
          <w:lang w:val="pt-PT"/>
        </w:rPr>
      </w:pPr>
      <w:r w:rsidRPr="001F740A">
        <w:rPr>
          <w:rStyle w:val="FootnoteReference"/>
          <w:sz w:val="24"/>
          <w:lang w:val="pt-PT"/>
        </w:rPr>
        <w:footnoteRef/>
      </w:r>
      <w:r w:rsidR="001F740A" w:rsidRPr="001F740A">
        <w:rPr>
          <w:sz w:val="24"/>
          <w:lang w:val="pt-PT"/>
        </w:rPr>
        <w:t xml:space="preserve"> </w:t>
      </w:r>
      <w:r w:rsidR="001F740A" w:rsidRPr="001F740A">
        <w:rPr>
          <w:sz w:val="24"/>
          <w:lang w:val="pt-PT"/>
        </w:rPr>
        <w:tab/>
      </w:r>
      <w:r w:rsidRPr="001F740A">
        <w:rPr>
          <w:sz w:val="24"/>
          <w:lang w:val="pt-PT"/>
        </w:rPr>
        <w:t xml:space="preserve">JO L 424 de 15.12.2020, p. 1, ELI: </w:t>
      </w:r>
      <w:hyperlink r:id="rId5" w:history="1">
        <w:r w:rsidRPr="001F740A">
          <w:rPr>
            <w:rStyle w:val="Hyperlink"/>
            <w:sz w:val="24"/>
            <w:lang w:val="pt-PT"/>
          </w:rPr>
          <w:t>http://data.europa.eu/eli/dec/2020/2053/oj</w:t>
        </w:r>
      </w:hyperlink>
      <w:r w:rsidRPr="001F740A">
        <w:rPr>
          <w:sz w:val="24"/>
          <w:lang w:val="pt-P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4F89C7" w14:textId="77777777" w:rsidR="00064002" w:rsidRPr="001F740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E32BD8" w14:textId="77777777" w:rsidR="00064002" w:rsidRPr="001F740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DFE63B" w14:textId="77777777" w:rsidR="00064002" w:rsidRPr="001F740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25245809">
    <w:abstractNumId w:val="9"/>
  </w:num>
  <w:num w:numId="2" w16cid:durableId="52848022">
    <w:abstractNumId w:val="9"/>
  </w:num>
  <w:num w:numId="3" w16cid:durableId="1474298632">
    <w:abstractNumId w:val="7"/>
  </w:num>
  <w:num w:numId="4" w16cid:durableId="2118482436">
    <w:abstractNumId w:val="7"/>
  </w:num>
  <w:num w:numId="5" w16cid:durableId="1296792269">
    <w:abstractNumId w:val="6"/>
  </w:num>
  <w:num w:numId="6" w16cid:durableId="811794916">
    <w:abstractNumId w:val="6"/>
  </w:num>
  <w:num w:numId="7" w16cid:durableId="1587418064">
    <w:abstractNumId w:val="5"/>
  </w:num>
  <w:num w:numId="8" w16cid:durableId="1145388719">
    <w:abstractNumId w:val="5"/>
  </w:num>
  <w:num w:numId="9" w16cid:durableId="1245606580">
    <w:abstractNumId w:val="4"/>
  </w:num>
  <w:num w:numId="10" w16cid:durableId="60718024">
    <w:abstractNumId w:val="4"/>
  </w:num>
  <w:num w:numId="11" w16cid:durableId="2056537149">
    <w:abstractNumId w:val="8"/>
  </w:num>
  <w:num w:numId="12" w16cid:durableId="1127355768">
    <w:abstractNumId w:val="8"/>
  </w:num>
  <w:num w:numId="13" w16cid:durableId="1191145630">
    <w:abstractNumId w:val="3"/>
  </w:num>
  <w:num w:numId="14" w16cid:durableId="306859192">
    <w:abstractNumId w:val="3"/>
  </w:num>
  <w:num w:numId="15" w16cid:durableId="1318071770">
    <w:abstractNumId w:val="2"/>
  </w:num>
  <w:num w:numId="16" w16cid:durableId="1271619021">
    <w:abstractNumId w:val="2"/>
  </w:num>
  <w:num w:numId="17" w16cid:durableId="208613676">
    <w:abstractNumId w:val="1"/>
  </w:num>
  <w:num w:numId="18" w16cid:durableId="2134444354">
    <w:abstractNumId w:val="1"/>
  </w:num>
  <w:num w:numId="19" w16cid:durableId="1010982272">
    <w:abstractNumId w:val="0"/>
  </w:num>
  <w:num w:numId="20" w16cid:durableId="572936177">
    <w:abstractNumId w:val="0"/>
  </w:num>
  <w:num w:numId="21" w16cid:durableId="194463571">
    <w:abstractNumId w:val="9"/>
  </w:num>
  <w:num w:numId="22" w16cid:durableId="7568205">
    <w:abstractNumId w:val="7"/>
  </w:num>
  <w:num w:numId="23" w16cid:durableId="107359002">
    <w:abstractNumId w:val="6"/>
  </w:num>
  <w:num w:numId="24" w16cid:durableId="210309831">
    <w:abstractNumId w:val="5"/>
  </w:num>
  <w:num w:numId="25" w16cid:durableId="1198547827">
    <w:abstractNumId w:val="4"/>
  </w:num>
  <w:num w:numId="26" w16cid:durableId="1460148756">
    <w:abstractNumId w:val="8"/>
  </w:num>
  <w:num w:numId="27" w16cid:durableId="1174107070">
    <w:abstractNumId w:val="3"/>
  </w:num>
  <w:num w:numId="28" w16cid:durableId="1367944839">
    <w:abstractNumId w:val="2"/>
  </w:num>
  <w:num w:numId="29" w16cid:durableId="227544787">
    <w:abstractNumId w:val="1"/>
  </w:num>
  <w:num w:numId="30" w16cid:durableId="1671910831">
    <w:abstractNumId w:val="0"/>
  </w:num>
  <w:num w:numId="31" w16cid:durableId="240601307">
    <w:abstractNumId w:val="9"/>
  </w:num>
  <w:num w:numId="32" w16cid:durableId="1190266160">
    <w:abstractNumId w:val="7"/>
  </w:num>
  <w:num w:numId="33" w16cid:durableId="2093239436">
    <w:abstractNumId w:val="6"/>
  </w:num>
  <w:num w:numId="34" w16cid:durableId="1898853711">
    <w:abstractNumId w:val="5"/>
  </w:num>
  <w:num w:numId="35" w16cid:durableId="548230089">
    <w:abstractNumId w:val="4"/>
  </w:num>
  <w:num w:numId="36" w16cid:durableId="2091924962">
    <w:abstractNumId w:val="8"/>
  </w:num>
  <w:num w:numId="37" w16cid:durableId="1412235970">
    <w:abstractNumId w:val="3"/>
  </w:num>
  <w:num w:numId="38" w16cid:durableId="611941805">
    <w:abstractNumId w:val="2"/>
  </w:num>
  <w:num w:numId="39" w16cid:durableId="2124418278">
    <w:abstractNumId w:val="1"/>
  </w:num>
  <w:num w:numId="40" w16cid:durableId="440338384">
    <w:abstractNumId w:val="0"/>
  </w:num>
  <w:num w:numId="41" w16cid:durableId="606500816">
    <w:abstractNumId w:val="10"/>
  </w:num>
  <w:num w:numId="42" w16cid:durableId="1999767722">
    <w:abstractNumId w:val="10"/>
  </w:num>
  <w:num w:numId="43" w16cid:durableId="1167865042">
    <w:abstractNumId w:val="10"/>
  </w:num>
  <w:num w:numId="44" w16cid:durableId="39462128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65/2025"/>
    <w:docVar w:name="dvlangue" w:val="PT"/>
    <w:docVar w:name="dvnumam" w:val="0"/>
    <w:docVar w:name="dvpe" w:val="776.838"/>
    <w:docVar w:name="dvrapporteur" w:val="Relator: "/>
    <w:docVar w:name="dvtitre" w:val="Resolução do Parlamento Europeu, de ... de ... de 2025,_x000d__x000a_ referente à posição do Conselho sobre o projeto de orçamento retificativo n.º 2/2025 da União Europeia para o exercício de 2025 — Atualização das receitas (recursos próprios) e ajustamentos das despesas(12353/2025 – C10-0209/2025 – 2025/0206(BUD))"/>
  </w:docVars>
  <w:rsids>
    <w:rsidRoot w:val="002626E7"/>
    <w:rsid w:val="00002272"/>
    <w:rsid w:val="00064002"/>
    <w:rsid w:val="000677B9"/>
    <w:rsid w:val="000831BA"/>
    <w:rsid w:val="000A42CC"/>
    <w:rsid w:val="000E7DD9"/>
    <w:rsid w:val="0010095E"/>
    <w:rsid w:val="00125B37"/>
    <w:rsid w:val="00130B8E"/>
    <w:rsid w:val="00187494"/>
    <w:rsid w:val="001F32AE"/>
    <w:rsid w:val="001F740A"/>
    <w:rsid w:val="002626E7"/>
    <w:rsid w:val="002767FF"/>
    <w:rsid w:val="002B18FE"/>
    <w:rsid w:val="002B5493"/>
    <w:rsid w:val="00343214"/>
    <w:rsid w:val="00357104"/>
    <w:rsid w:val="00361C00"/>
    <w:rsid w:val="00367D06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7687B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A0FED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14E44"/>
    <w:rsid w:val="00B22876"/>
    <w:rsid w:val="00B558F0"/>
    <w:rsid w:val="00B75254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0ED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0B728E"/>
  <w15:chartTrackingRefBased/>
  <w15:docId w15:val="{C09F74A0-A003-44F5-A952-2C84A2FF4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357104"/>
    <w:pPr>
      <w:spacing w:before="480" w:after="240"/>
    </w:pPr>
  </w:style>
  <w:style w:type="paragraph" w:customStyle="1" w:styleId="NormalHanging12a">
    <w:name w:val="NormalHanging12a"/>
    <w:basedOn w:val="Normal"/>
    <w:link w:val="NormalHanging12aChar"/>
    <w:rsid w:val="00357104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rsid w:val="00357104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357104"/>
    <w:rPr>
      <w:sz w:val="24"/>
      <w:lang w:val="pt-PT"/>
    </w:rPr>
  </w:style>
  <w:style w:type="paragraph" w:styleId="Revision">
    <w:name w:val="Revision"/>
    <w:hidden/>
    <w:uiPriority w:val="99"/>
    <w:semiHidden/>
    <w:rsid w:val="00B14E44"/>
    <w:rPr>
      <w:sz w:val="24"/>
      <w:lang w:val="pt-PT"/>
    </w:rPr>
  </w:style>
  <w:style w:type="character" w:styleId="FollowedHyperlink">
    <w:name w:val="FollowedHyperlink"/>
    <w:basedOn w:val="DefaultParagraphFont"/>
    <w:rsid w:val="00B14E44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4E44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rsid w:val="00130B8E"/>
    <w:rPr>
      <w:sz w:val="16"/>
      <w:szCs w:val="16"/>
    </w:rPr>
  </w:style>
  <w:style w:type="paragraph" w:styleId="CommentText">
    <w:name w:val="annotation text"/>
    <w:basedOn w:val="Normal"/>
    <w:link w:val="CommentTextChar"/>
    <w:rsid w:val="00130B8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130B8E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130B8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30B8E"/>
    <w:rPr>
      <w:b/>
      <w:bCs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0/2093/oj" TargetMode="External"/><Relationship Id="rId2" Type="http://schemas.openxmlformats.org/officeDocument/2006/relationships/hyperlink" Target="http://data.europa.eu/eli/budget/2025/31/oj%20" TargetMode="External"/><Relationship Id="rId1" Type="http://schemas.openxmlformats.org/officeDocument/2006/relationships/hyperlink" Target="http://data.europa.eu/eli/reg/2024/2509/oj" TargetMode="External"/><Relationship Id="rId5" Type="http://schemas.openxmlformats.org/officeDocument/2006/relationships/hyperlink" Target="http://data.europa.eu/eli/dec/2020/2053/oj" TargetMode="External"/><Relationship Id="rId4" Type="http://schemas.openxmlformats.org/officeDocument/2006/relationships/hyperlink" Target="http://data.europa.eu/eli/agree_interinstit/2020/122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1527</Words>
  <Characters>8283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9791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SEMEDO Teresa_RELEC</cp:lastModifiedBy>
  <cp:revision>2</cp:revision>
  <cp:lastPrinted>2004-11-19T15:42:00Z</cp:lastPrinted>
  <dcterms:created xsi:type="dcterms:W3CDTF">2025-10-08T14:50:00Z</dcterms:created>
  <dcterms:modified xsi:type="dcterms:W3CDTF">2025-10-08T14:50:00Z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A10-0165/2025</vt:lpwstr>
  </property>
  <property fmtid="{D5CDD505-2E9C-101B-9397-08002B2CF9AE}" pid="4" name="&lt;Type&gt;">
    <vt:lpwstr>RR</vt:lpwstr>
  </property>
</Properties>
</file>