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3514" w14:paraId="6C0E850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B6AE21" w14:textId="77777777" w:rsidR="00751A4A" w:rsidRPr="00163514" w:rsidRDefault="00363CE9" w:rsidP="0010095E">
            <w:pPr>
              <w:pStyle w:val="EPName"/>
            </w:pPr>
            <w:r w:rsidRPr="00163514">
              <w:t>Európsky parlament</w:t>
            </w:r>
          </w:p>
          <w:p w14:paraId="6042F922" w14:textId="77777777" w:rsidR="00751A4A" w:rsidRPr="0016351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3514">
              <w:t>2024</w:t>
            </w:r>
            <w:r w:rsidR="00817416" w:rsidRPr="00163514">
              <w:t>-202</w:t>
            </w:r>
            <w:r w:rsidRPr="00163514">
              <w:t>9</w:t>
            </w:r>
          </w:p>
        </w:tc>
        <w:tc>
          <w:tcPr>
            <w:tcW w:w="2268" w:type="dxa"/>
            <w:shd w:val="clear" w:color="auto" w:fill="auto"/>
          </w:tcPr>
          <w:p w14:paraId="045C82B1" w14:textId="77777777" w:rsidR="00751A4A" w:rsidRPr="00163514" w:rsidRDefault="00187494" w:rsidP="0010095E">
            <w:pPr>
              <w:pStyle w:val="EPLogo"/>
            </w:pPr>
            <w:r w:rsidRPr="00163514">
              <w:rPr>
                <w:noProof/>
                <w:lang w:eastAsia="ja-JP"/>
              </w:rPr>
              <w:drawing>
                <wp:inline distT="0" distB="0" distL="0" distR="0" wp14:anchorId="3B5C8581" wp14:editId="677A7B2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118D39" w14:textId="77777777" w:rsidR="00D058B8" w:rsidRPr="00163514" w:rsidRDefault="00D058B8" w:rsidP="004C5D52">
      <w:pPr>
        <w:pStyle w:val="LineTop"/>
      </w:pPr>
    </w:p>
    <w:p w14:paraId="306381F9" w14:textId="77777777" w:rsidR="00680577" w:rsidRPr="00163514" w:rsidRDefault="00363CE9" w:rsidP="00680577">
      <w:pPr>
        <w:pStyle w:val="EPBodyTA1"/>
      </w:pPr>
      <w:r w:rsidRPr="00163514">
        <w:t>PRIJATÉ TEXTY</w:t>
      </w:r>
    </w:p>
    <w:p w14:paraId="747E051F" w14:textId="77777777" w:rsidR="00D058B8" w:rsidRPr="00163514" w:rsidRDefault="00D058B8" w:rsidP="00D058B8">
      <w:pPr>
        <w:pStyle w:val="LineBottom"/>
      </w:pPr>
    </w:p>
    <w:p w14:paraId="21976409" w14:textId="4CC6E892" w:rsidR="00363CE9" w:rsidRPr="00163514" w:rsidRDefault="00363CE9" w:rsidP="00363CE9">
      <w:pPr>
        <w:pStyle w:val="ATHeading1"/>
      </w:pPr>
      <w:bookmarkStart w:id="0" w:name="TANumber"/>
      <w:r w:rsidRPr="00163514">
        <w:t>P10_TA(2025)0</w:t>
      </w:r>
      <w:r w:rsidR="005A4494" w:rsidRPr="00163514">
        <w:t>218</w:t>
      </w:r>
      <w:bookmarkEnd w:id="0"/>
    </w:p>
    <w:p w14:paraId="47E564CB" w14:textId="422AC646" w:rsidR="00363CE9" w:rsidRPr="00163514" w:rsidRDefault="00363CE9" w:rsidP="00363CE9">
      <w:pPr>
        <w:pStyle w:val="ATHeading2"/>
      </w:pPr>
      <w:bookmarkStart w:id="1" w:name="title"/>
      <w:r w:rsidRPr="00163514">
        <w:t>Návrh opravného rozpočtu č. 2</w:t>
      </w:r>
      <w:r w:rsidR="00A51CC2" w:rsidRPr="00163514">
        <w:t>/</w:t>
      </w:r>
      <w:r w:rsidRPr="00163514">
        <w:t xml:space="preserve">2025: </w:t>
      </w:r>
      <w:r w:rsidR="00A51CC2" w:rsidRPr="00163514">
        <w:t>a</w:t>
      </w:r>
      <w:r w:rsidRPr="00163514">
        <w:t>ktualizácia príjmov (vlastn</w:t>
      </w:r>
      <w:r w:rsidR="002155C2" w:rsidRPr="00163514">
        <w:t>é</w:t>
      </w:r>
      <w:r w:rsidRPr="00163514">
        <w:t xml:space="preserve"> zdroj</w:t>
      </w:r>
      <w:r w:rsidR="002155C2" w:rsidRPr="00163514">
        <w:t>e</w:t>
      </w:r>
      <w:r w:rsidRPr="00163514">
        <w:t>) a úpravy výdavkov</w:t>
      </w:r>
      <w:bookmarkEnd w:id="1"/>
    </w:p>
    <w:p w14:paraId="46588A13" w14:textId="77777777" w:rsidR="00363CE9" w:rsidRPr="00163514" w:rsidRDefault="00363CE9" w:rsidP="00363CE9">
      <w:pPr>
        <w:rPr>
          <w:i/>
          <w:vanish/>
        </w:rPr>
      </w:pPr>
      <w:r w:rsidRPr="00163514">
        <w:rPr>
          <w:i/>
        </w:rPr>
        <w:fldChar w:fldCharType="begin"/>
      </w:r>
      <w:r w:rsidRPr="00163514">
        <w:rPr>
          <w:i/>
        </w:rPr>
        <w:instrText xml:space="preserve"> TC"(</w:instrText>
      </w:r>
      <w:bookmarkStart w:id="2" w:name="DocNumber"/>
      <w:r w:rsidRPr="00163514">
        <w:rPr>
          <w:i/>
        </w:rPr>
        <w:instrText>A10-0165/2025</w:instrText>
      </w:r>
      <w:bookmarkEnd w:id="2"/>
      <w:r w:rsidRPr="00163514">
        <w:rPr>
          <w:i/>
        </w:rPr>
        <w:instrText xml:space="preserve"> - Spravodajca: Victor Negrescu)"\l3 \n&gt; \* MERGEFORMAT </w:instrText>
      </w:r>
      <w:r w:rsidRPr="00163514">
        <w:rPr>
          <w:i/>
        </w:rPr>
        <w:fldChar w:fldCharType="end"/>
      </w:r>
    </w:p>
    <w:p w14:paraId="4DB5DBEF" w14:textId="77777777" w:rsidR="00363CE9" w:rsidRPr="00163514" w:rsidRDefault="00363CE9" w:rsidP="00363CE9">
      <w:pPr>
        <w:rPr>
          <w:vanish/>
        </w:rPr>
      </w:pPr>
      <w:bookmarkStart w:id="3" w:name="Commission"/>
      <w:r w:rsidRPr="00163514">
        <w:rPr>
          <w:vanish/>
        </w:rPr>
        <w:t>Výbor pre rozpočet</w:t>
      </w:r>
      <w:bookmarkEnd w:id="3"/>
    </w:p>
    <w:p w14:paraId="54C34247" w14:textId="77777777" w:rsidR="00363CE9" w:rsidRPr="00163514" w:rsidRDefault="00363CE9" w:rsidP="00363CE9">
      <w:pPr>
        <w:rPr>
          <w:vanish/>
        </w:rPr>
      </w:pPr>
      <w:bookmarkStart w:id="4" w:name="PE"/>
      <w:r w:rsidRPr="00163514">
        <w:rPr>
          <w:vanish/>
        </w:rPr>
        <w:t>PE776.838</w:t>
      </w:r>
      <w:bookmarkEnd w:id="4"/>
    </w:p>
    <w:p w14:paraId="61D2918E" w14:textId="7FD0F5D9" w:rsidR="00363CE9" w:rsidRPr="00163514" w:rsidRDefault="00363CE9" w:rsidP="00363CE9">
      <w:pPr>
        <w:pStyle w:val="ATHeading3"/>
      </w:pPr>
      <w:bookmarkStart w:id="5" w:name="Sujet"/>
      <w:r w:rsidRPr="00163514">
        <w:t>Uznesenie Európskeho parlamentu z</w:t>
      </w:r>
      <w:r w:rsidR="00A51CC2" w:rsidRPr="00163514">
        <w:t> 8</w:t>
      </w:r>
      <w:r w:rsidRPr="00163514">
        <w:t>. októbra 2025 o pozícii Rady k návrhu opravného rozpočtu Európskej únie č. 2/2025 na rozpočtový rok 2025 – aktualizácia príjmov (vlastné zdroje) a úpravy výdavkov</w:t>
      </w:r>
      <w:bookmarkEnd w:id="5"/>
      <w:r w:rsidRPr="00163514">
        <w:t xml:space="preserve"> </w:t>
      </w:r>
      <w:bookmarkStart w:id="6" w:name="References"/>
      <w:r w:rsidRPr="00163514">
        <w:t>(12353/2025 – C10-0209/2025 – 2025/0206(BUD))</w:t>
      </w:r>
      <w:bookmarkEnd w:id="6"/>
    </w:p>
    <w:p w14:paraId="000F344E" w14:textId="77777777" w:rsidR="00B54F83" w:rsidRPr="00163514" w:rsidRDefault="00B54F83" w:rsidP="00B54F83">
      <w:pPr>
        <w:pStyle w:val="EPComma"/>
      </w:pPr>
      <w:bookmarkStart w:id="7" w:name="TextBodyBegin"/>
      <w:bookmarkEnd w:id="7"/>
      <w:r w:rsidRPr="00163514">
        <w:rPr>
          <w:i/>
          <w:iCs/>
        </w:rPr>
        <w:t>Európsky parlament</w:t>
      </w:r>
      <w:r w:rsidRPr="00163514">
        <w:t>,</w:t>
      </w:r>
    </w:p>
    <w:p w14:paraId="62563620" w14:textId="77777777" w:rsidR="00B54F83" w:rsidRPr="00163514" w:rsidRDefault="00B54F83" w:rsidP="00B54F83">
      <w:pPr>
        <w:pStyle w:val="NormalHanging12a"/>
      </w:pPr>
      <w:r w:rsidRPr="00163514">
        <w:t>–</w:t>
      </w:r>
      <w:r w:rsidRPr="00163514">
        <w:tab/>
        <w:t>so zreteľom na článok 314 Zmluvy o fungovaní Európskej únie,</w:t>
      </w:r>
    </w:p>
    <w:p w14:paraId="206766C2" w14:textId="77777777" w:rsidR="00B54F83" w:rsidRPr="00163514" w:rsidRDefault="00B54F83" w:rsidP="00B54F83">
      <w:pPr>
        <w:pStyle w:val="NormalHanging12a"/>
      </w:pPr>
      <w:r w:rsidRPr="00163514">
        <w:t>–</w:t>
      </w:r>
      <w:r w:rsidRPr="00163514">
        <w:tab/>
        <w:t>so zreteľom na článok 106a Zmluvy o založení Európskeho spoločenstva pre atómovú energiu,</w:t>
      </w:r>
    </w:p>
    <w:p w14:paraId="39DDEEA1" w14:textId="77777777" w:rsidR="00B54F83" w:rsidRPr="00163514" w:rsidRDefault="00B54F83" w:rsidP="00B54F83">
      <w:pPr>
        <w:pStyle w:val="NormalHanging12a"/>
      </w:pPr>
      <w:r w:rsidRPr="00163514">
        <w:t>–</w:t>
      </w:r>
      <w:r w:rsidRPr="00163514">
        <w:tab/>
        <w:t xml:space="preserve">so zreteľom na nariadenie Európskeho parlamentu a Rady (EÚ, </w:t>
      </w:r>
      <w:proofErr w:type="spellStart"/>
      <w:r w:rsidRPr="00163514">
        <w:t>Euratom</w:t>
      </w:r>
      <w:proofErr w:type="spellEnd"/>
      <w:r w:rsidRPr="00163514">
        <w:t>) 2024/2509 z 23. septembra 2024 o rozpočtových pravidlách, ktoré sa vzťahujú na všeobecný rozpočet Únie</w:t>
      </w:r>
      <w:r w:rsidRPr="00163514">
        <w:rPr>
          <w:rStyle w:val="FootnoteReference"/>
        </w:rPr>
        <w:footnoteReference w:id="1"/>
      </w:r>
      <w:r w:rsidRPr="00163514">
        <w:t>, a najmä na jeho článok 44,</w:t>
      </w:r>
    </w:p>
    <w:p w14:paraId="12185B47" w14:textId="77777777" w:rsidR="00B54F83" w:rsidRPr="00163514" w:rsidRDefault="00B54F83" w:rsidP="00B54F83">
      <w:pPr>
        <w:pStyle w:val="NormalHanging12a"/>
      </w:pPr>
      <w:r w:rsidRPr="00163514">
        <w:t>–</w:t>
      </w:r>
      <w:r w:rsidRPr="00163514">
        <w:tab/>
        <w:t>so zreteľom na všeobecný rozpočet Európskej únie na rozpočtový rok 2025 prijatý s konečnou platnosťou 27. novembra 2024</w:t>
      </w:r>
      <w:r w:rsidRPr="00163514">
        <w:rPr>
          <w:rStyle w:val="FootnoteReference"/>
        </w:rPr>
        <w:footnoteReference w:id="2"/>
      </w:r>
      <w:r w:rsidRPr="00163514">
        <w:t>,</w:t>
      </w:r>
    </w:p>
    <w:p w14:paraId="4B725C87" w14:textId="77777777" w:rsidR="00B54F83" w:rsidRPr="00163514" w:rsidRDefault="00B54F83" w:rsidP="00B54F83">
      <w:pPr>
        <w:pStyle w:val="NormalHanging12a"/>
      </w:pPr>
      <w:r w:rsidRPr="00163514">
        <w:t>–</w:t>
      </w:r>
      <w:r w:rsidRPr="00163514">
        <w:tab/>
        <w:t xml:space="preserve">so zreteľom na nariadenie Rady (EÚ, </w:t>
      </w:r>
      <w:proofErr w:type="spellStart"/>
      <w:r w:rsidRPr="00163514">
        <w:t>Euratom</w:t>
      </w:r>
      <w:proofErr w:type="spellEnd"/>
      <w:r w:rsidRPr="00163514">
        <w:t>) 2020/2093 zo 17. decembra 2020, ktorým sa stanovuje viacročný finančný rámec na roky 2021 až 2027</w:t>
      </w:r>
      <w:r w:rsidRPr="00163514">
        <w:rPr>
          <w:rStyle w:val="FootnoteReference"/>
        </w:rPr>
        <w:footnoteReference w:id="3"/>
      </w:r>
      <w:r w:rsidRPr="00163514">
        <w:t>,</w:t>
      </w:r>
    </w:p>
    <w:p w14:paraId="7D54878C" w14:textId="77777777" w:rsidR="00B54F83" w:rsidRPr="00163514" w:rsidRDefault="00B54F83" w:rsidP="00B54F83">
      <w:pPr>
        <w:pStyle w:val="NormalHanging12a"/>
      </w:pPr>
      <w:r w:rsidRPr="00163514">
        <w:t>–</w:t>
      </w:r>
      <w:r w:rsidRPr="00163514">
        <w:tab/>
        <w:t xml:space="preserve">so zreteľom na </w:t>
      </w:r>
      <w:proofErr w:type="spellStart"/>
      <w:r w:rsidRPr="00163514">
        <w:t>Medziinštitucionálnu</w:t>
      </w:r>
      <w:proofErr w:type="spellEnd"/>
      <w:r w:rsidRPr="00163514">
        <w:t xml:space="preserve"> dohodu zo 16. decembra 2020 medzi Európskym parlamentom, Radou Európskej únie a Európskou komisiou o rozpočtovej disciplíne, spolupráci v rozpočtových záležitostiach a správnom finančnom riadení, ako aj o nových vlastných zdrojoch vrátane plánu na zavedenie nových vlastných zdrojov</w:t>
      </w:r>
      <w:r w:rsidRPr="00163514">
        <w:rPr>
          <w:rStyle w:val="FootnoteReference"/>
        </w:rPr>
        <w:footnoteReference w:id="4"/>
      </w:r>
      <w:r w:rsidRPr="00163514">
        <w:t>,</w:t>
      </w:r>
    </w:p>
    <w:p w14:paraId="2EE10444" w14:textId="77777777" w:rsidR="00B54F83" w:rsidRPr="00163514" w:rsidRDefault="00B54F83" w:rsidP="00B54F83">
      <w:pPr>
        <w:pStyle w:val="NormalHanging12a"/>
      </w:pPr>
      <w:r w:rsidRPr="00163514">
        <w:t>–</w:t>
      </w:r>
      <w:r w:rsidRPr="00163514">
        <w:tab/>
        <w:t xml:space="preserve">so zreteľom na rozhodnutie Rady (EÚ, </w:t>
      </w:r>
      <w:proofErr w:type="spellStart"/>
      <w:r w:rsidRPr="00163514">
        <w:t>Euratom</w:t>
      </w:r>
      <w:proofErr w:type="spellEnd"/>
      <w:r w:rsidRPr="00163514">
        <w:t xml:space="preserve">) 2020/2053 zo 14. decembra 2020 o systéme vlastných zdrojov Európskej únie a o zrušení rozhodnutia 2014/335/EÚ, </w:t>
      </w:r>
      <w:proofErr w:type="spellStart"/>
      <w:r w:rsidRPr="00163514">
        <w:lastRenderedPageBreak/>
        <w:t>Euratom</w:t>
      </w:r>
      <w:proofErr w:type="spellEnd"/>
      <w:r w:rsidRPr="00163514">
        <w:rPr>
          <w:rStyle w:val="FootnoteReference"/>
        </w:rPr>
        <w:footnoteReference w:id="5"/>
      </w:r>
      <w:r w:rsidRPr="00163514">
        <w:t>,</w:t>
      </w:r>
    </w:p>
    <w:p w14:paraId="096D68AB" w14:textId="77777777" w:rsidR="00B54F83" w:rsidRPr="00163514" w:rsidRDefault="00B54F83" w:rsidP="00B54F83">
      <w:pPr>
        <w:pStyle w:val="NormalHanging12a"/>
      </w:pPr>
      <w:r w:rsidRPr="00163514">
        <w:t>–</w:t>
      </w:r>
      <w:r w:rsidRPr="00163514">
        <w:tab/>
        <w:t>so zreteľom na návrh opravného rozpočtu č. 2/2025, ktorý Komisia prijala 4. júla 2025 (COM(2025)0410),</w:t>
      </w:r>
    </w:p>
    <w:p w14:paraId="455511EE" w14:textId="77777777" w:rsidR="00B54F83" w:rsidRPr="00163514" w:rsidRDefault="00B54F83" w:rsidP="00B54F83">
      <w:pPr>
        <w:pStyle w:val="NormalHanging12a"/>
      </w:pPr>
      <w:r w:rsidRPr="00163514">
        <w:t>–</w:t>
      </w:r>
      <w:r w:rsidRPr="00163514">
        <w:tab/>
        <w:t>so zreteľom na pozíciu k návrhu opravného rozpočtu č. 2/2025, ktorú prijala Rada 16. septembra 2025 a postúpila Európskemu parlamentu 17. septembra 2025 (12353/2025 – C10</w:t>
      </w:r>
      <w:r w:rsidRPr="00163514">
        <w:noBreakHyphen/>
        <w:t>0209/2025),</w:t>
      </w:r>
    </w:p>
    <w:p w14:paraId="6B9DBEEF" w14:textId="77777777" w:rsidR="00B54F83" w:rsidRPr="00163514" w:rsidRDefault="00B54F83" w:rsidP="00B54F83">
      <w:pPr>
        <w:pStyle w:val="NormalHanging12a"/>
      </w:pPr>
      <w:r w:rsidRPr="00163514">
        <w:t>–</w:t>
      </w:r>
      <w:r w:rsidRPr="00163514">
        <w:tab/>
        <w:t>so zreteľom na články 96 a 98 rokovacieho poriadku,</w:t>
      </w:r>
    </w:p>
    <w:p w14:paraId="1DB2D11C" w14:textId="77777777" w:rsidR="00B54F83" w:rsidRPr="00163514" w:rsidRDefault="00B54F83" w:rsidP="00B54F83">
      <w:pPr>
        <w:pStyle w:val="NormalHanging12a"/>
      </w:pPr>
      <w:r w:rsidRPr="00163514">
        <w:t>–</w:t>
      </w:r>
      <w:r w:rsidRPr="00163514">
        <w:tab/>
        <w:t>so zreteľom na správu Výboru pre rozpočet (A10-0165/2025),</w:t>
      </w:r>
    </w:p>
    <w:p w14:paraId="700CE36E" w14:textId="77777777" w:rsidR="00B54F83" w:rsidRPr="00163514" w:rsidRDefault="00B54F83" w:rsidP="00B54F83">
      <w:pPr>
        <w:pStyle w:val="NormalHanging12a"/>
      </w:pPr>
      <w:r w:rsidRPr="00163514">
        <w:t>A.</w:t>
      </w:r>
      <w:r w:rsidRPr="00163514">
        <w:tab/>
        <w:t>keďže účelom návrhu opravného rozpočtu č. 2/2025 je aktualizovať príjmovú stranu rozpočtu tak, aby zohľadňovala najnovší vývoj, a okrem toho upraviť výdavkovú stranu rozpočtu vo vzťahu k viacerým výdavkovým položkám;</w:t>
      </w:r>
    </w:p>
    <w:p w14:paraId="397DDF02" w14:textId="77777777" w:rsidR="00B54F83" w:rsidRPr="00163514" w:rsidRDefault="00B54F83" w:rsidP="00B54F83">
      <w:pPr>
        <w:pStyle w:val="NormalHanging12a"/>
      </w:pPr>
      <w:r w:rsidRPr="00163514">
        <w:t>B.</w:t>
      </w:r>
      <w:r w:rsidRPr="00163514">
        <w:tab/>
        <w:t>keďže návrh opravného rozpočtu č. 2/2025 zahŕňa revíziu prognóz vlastných zdrojov v súvislosti s clami, ktoré sú o 1 % nižšie ako v prognóze z mája 2024, v súvislosti s obmedzeným základom DPH, ktorý je o 2,4 % nižší ako v prognóze z mája 2024, v súvislosti s nerecyklovaným odpadom z plastových obalov, ktorý je o 3,5 % vyšší ako v prognóze z mája 2024, a v súvislosti s celkovým základom HND EÚ, ktorý je v porovnaní s prognózou z mája 2024 vyšší o 0,5 %;</w:t>
      </w:r>
    </w:p>
    <w:p w14:paraId="2CE126DF" w14:textId="77777777" w:rsidR="00B54F83" w:rsidRPr="00163514" w:rsidRDefault="00B54F83" w:rsidP="00B54F83">
      <w:pPr>
        <w:pStyle w:val="NormalHanging12a"/>
      </w:pPr>
      <w:r w:rsidRPr="00163514">
        <w:t>C.</w:t>
      </w:r>
      <w:r w:rsidRPr="00163514">
        <w:tab/>
        <w:t>keďže v návrhu opravného rozpočtu č. 2/2025 sa aktualizuje aj príspevok Spojeného kráľovstva na rok 2025 podľa dohody o vystúpení, ktorý predstavuje 1,53 miliardy EUR, čo predstavuje mierne zníženie o 25 miliónov EUR v porovnaní s odhadom uvedeným v rozpočte na rok 2025;</w:t>
      </w:r>
    </w:p>
    <w:p w14:paraId="549CF601" w14:textId="77777777" w:rsidR="00B54F83" w:rsidRPr="00163514" w:rsidRDefault="00B54F83" w:rsidP="00B54F83">
      <w:pPr>
        <w:pStyle w:val="NormalHanging12a"/>
      </w:pPr>
      <w:r w:rsidRPr="00163514">
        <w:t>D.</w:t>
      </w:r>
      <w:r w:rsidRPr="00163514">
        <w:tab/>
        <w:t>keďže v návrhu opravného rozpočtu č. 2/2025 sa zohľadňujú aj pokuty, sankcie za porušenie a záporné výnosy uhradené do konca mája 2025, čo zvyšuje pôvodnú prognózu pokút a sankcií v rozpočte na rok 2025 o 291 miliónov EUR;</w:t>
      </w:r>
    </w:p>
    <w:p w14:paraId="249658A9" w14:textId="77777777" w:rsidR="00B54F83" w:rsidRPr="00163514" w:rsidRDefault="00B54F83" w:rsidP="00B54F83">
      <w:pPr>
        <w:pStyle w:val="NormalHanging12a"/>
      </w:pPr>
      <w:r w:rsidRPr="00163514">
        <w:t>E.</w:t>
      </w:r>
      <w:r w:rsidRPr="00163514">
        <w:tab/>
        <w:t>keďže pokiaľ ide o stranu výdavkov, v návrhu opravného rozpočtu č. 2/2025 sa navrhuje niekoľko aktualizácií viazaných a platobných rozpočtových prostriedkov, predovšetkým zvýšenie prostriedkov na platby o 3,5 miliardy EUR pre Európsky poľnohospodársky fond pre rozvoj vidieka;</w:t>
      </w:r>
    </w:p>
    <w:p w14:paraId="36D40C22" w14:textId="77777777" w:rsidR="00B54F83" w:rsidRPr="00163514" w:rsidRDefault="00B54F83" w:rsidP="00B54F83">
      <w:pPr>
        <w:pStyle w:val="NormalHanging12a"/>
      </w:pPr>
      <w:r w:rsidRPr="00163514">
        <w:t>1.</w:t>
      </w:r>
      <w:r w:rsidRPr="00163514">
        <w:tab/>
        <w:t>berie na vedomie návrh opravného rozpočtu č. 2/2025 v znení, v akom ho predložila Komisia;</w:t>
      </w:r>
    </w:p>
    <w:p w14:paraId="7FE24BCA" w14:textId="77777777" w:rsidR="00B54F83" w:rsidRPr="00163514" w:rsidRDefault="00B54F83" w:rsidP="00B54F83">
      <w:pPr>
        <w:pStyle w:val="NormalHanging12a"/>
      </w:pPr>
      <w:r w:rsidRPr="00163514">
        <w:t>2.</w:t>
      </w:r>
      <w:r w:rsidRPr="00163514">
        <w:tab/>
        <w:t>berie na vedomie, že zníženie sumy vlastných zdrojov iných ako HND a dodatočné platobné potreby na strane výdavkov vedú k celkovej zvýšenej potrebe príspevkov založených na HND vo výške 4,3 miliardy EUR; uznáva, že to znamená úpravu jednotnej sadzby HND z 0,527 % (v NOR č. 1/2025) na 0,547 % (v NOR č. 2/2025);</w:t>
      </w:r>
    </w:p>
    <w:p w14:paraId="2782839D" w14:textId="09CD5AD2" w:rsidR="00B54F83" w:rsidRPr="00163514" w:rsidRDefault="00B54F83" w:rsidP="00B54F83">
      <w:pPr>
        <w:pStyle w:val="NormalHanging12a"/>
      </w:pPr>
      <w:r w:rsidRPr="00163514">
        <w:t>3.</w:t>
      </w:r>
      <w:r w:rsidRPr="00163514">
        <w:tab/>
        <w:t xml:space="preserve">zdôrazňuje, že v návrhu opravného rozpočtu č. 2/2025 predstavuje paušálne zníženie HND pre päť prijímajúcich členských štátov približne 9,2 miliardy EUR brutto; zdôrazňuje, že tieto zľavy súvisia s infláciou, a preto sa zvýšili vyšším tempom ako stropy </w:t>
      </w:r>
      <w:r w:rsidR="00A51CC2" w:rsidRPr="00163514">
        <w:t>viacročného finančného rámca (ďalej len „</w:t>
      </w:r>
      <w:r w:rsidRPr="00163514">
        <w:t>VFR</w:t>
      </w:r>
      <w:r w:rsidR="00A51CC2" w:rsidRPr="00163514">
        <w:t>“)</w:t>
      </w:r>
      <w:r w:rsidRPr="00163514">
        <w:t xml:space="preserve">, ktoré sa každoročne upravujú </w:t>
      </w:r>
      <w:r w:rsidRPr="00163514">
        <w:lastRenderedPageBreak/>
        <w:t>na základe deflátora vo výške 2 %; zdôrazňuje, že rozpočet Únie bol v posledných rokoch výrazne napätý, aby reagoval na rôzne krízy; zdôrazňuje, že táto anomália týkajúca sa zliav zvyšuje zaťaženie ostatných členských štátov;</w:t>
      </w:r>
    </w:p>
    <w:p w14:paraId="54FFE1FF" w14:textId="77777777" w:rsidR="00B54F83" w:rsidRPr="00163514" w:rsidRDefault="00B54F83" w:rsidP="00B54F83">
      <w:pPr>
        <w:pStyle w:val="NormalHanging12a"/>
      </w:pPr>
      <w:r w:rsidRPr="00163514">
        <w:t>4.</w:t>
      </w:r>
      <w:r w:rsidRPr="00163514">
        <w:tab/>
        <w:t xml:space="preserve">víta nové úsilie Komisie predložiť viac možností pre nové zdroje príjmov pre rozpočet Únie; v tejto súvislosti berie na vedomie návrh Komisie týkajúci sa rozhodnutia Rady o systéme vlastných zdrojov Európskej únie zo 16. júla 2025; domnieva sa, že je potrebné urýchlene prijať nové vlastné zdroje s cieľom zvýšiť zdroje, ktoré sú k dispozícii pre rozpočet; zdôrazňuje, že nové vlastné zdroje musia byť spravodlivé a sú nevyhnutné nielen na splatenie pôžičiek </w:t>
      </w:r>
      <w:proofErr w:type="spellStart"/>
      <w:r w:rsidRPr="00163514">
        <w:t>Next</w:t>
      </w:r>
      <w:proofErr w:type="spellEnd"/>
      <w:r w:rsidRPr="00163514">
        <w:t xml:space="preserve"> </w:t>
      </w:r>
      <w:proofErr w:type="spellStart"/>
      <w:r w:rsidRPr="00163514">
        <w:t>Generation</w:t>
      </w:r>
      <w:proofErr w:type="spellEnd"/>
      <w:r w:rsidRPr="00163514">
        <w:t xml:space="preserve"> EU, ale aj na zabezpečenie toho, aby bola Únia schopná pokryť svoje vyššie potreby v oblasti výdavkov; v tejto súvislosti pripomína svoju dlhodobú pozíciu, že neočakávané zisky z pokút a sankcií alebo ich ekvivalentné sumy by sa mali použiť ako dodatočný príjem do rozpočtu Únie na účely reakcie na krízu alebo na neočakávané potreby a nemali by viesť k zodpovedajúcemu zníženiu príspevkov založených na HND; zdôrazňuje, že v súčasnom VFR sa takéto sumy „vracajú“ členským štátom;</w:t>
      </w:r>
    </w:p>
    <w:p w14:paraId="778DC3CF" w14:textId="513E85E4" w:rsidR="00B54F83" w:rsidRPr="00163514" w:rsidRDefault="00B54F83" w:rsidP="00B54F83">
      <w:pPr>
        <w:pStyle w:val="NormalHanging12a"/>
      </w:pPr>
      <w:r w:rsidRPr="00163514">
        <w:t>5.</w:t>
      </w:r>
      <w:r w:rsidRPr="00163514">
        <w:tab/>
        <w:t xml:space="preserve">zdôrazňuje, že ponaučenia z nedávnych kríz – pandémie, energetických šokov a vojny na Ukrajine – si vyžadujú vážne úvahy o flexibilite v budúcom VFR; opakuje svoju pozíciu, že budúci nástroj flexibility by sa mal pokryť z viacerých dodatočných zdrojov financovania vrátane ročného prebytku z predchádzajúceho roka, pokút a spätných tokov; berie na vedomie príslušné ustanovenia v navrhovanom nariadení o VFR, v ktorých Komisia navrhuje pridať do nástroja flexibility určité sumy v súlade s dlhodobými požiadavkami </w:t>
      </w:r>
      <w:r w:rsidR="007F2DB0" w:rsidRPr="00163514">
        <w:t>Európskeho p</w:t>
      </w:r>
      <w:r w:rsidRPr="00163514">
        <w:t>arlamentu; pripomína však, že flexibilita by nemala byť na úkor transparentnosti;</w:t>
      </w:r>
    </w:p>
    <w:p w14:paraId="149DC3AE" w14:textId="77777777" w:rsidR="00B54F83" w:rsidRPr="00163514" w:rsidRDefault="00B54F83" w:rsidP="00B54F83">
      <w:pPr>
        <w:pStyle w:val="NormalHanging12a"/>
      </w:pPr>
      <w:r w:rsidRPr="00163514">
        <w:t>6.</w:t>
      </w:r>
      <w:r w:rsidRPr="00163514">
        <w:tab/>
        <w:t>víta úpravy platobných rozpočtových prostriedkov pre Fond pre rozvoj vidieka smerom nahor, čo naznačuje, že vykonávanie strategických plánov SPP na roky 2023 – 2027, ako aj intervencií v rámci programov na roky 2014 – 2020 sa zrýchľuje, čím sa kompenzujú oneskorenia v predchádzajúcich rozpočtových rokoch;</w:t>
      </w:r>
    </w:p>
    <w:p w14:paraId="036897D9" w14:textId="1B9E4932" w:rsidR="00B54F83" w:rsidRPr="00163514" w:rsidRDefault="00B54F83" w:rsidP="00B54F83">
      <w:pPr>
        <w:pStyle w:val="NormalHanging12a"/>
      </w:pPr>
      <w:r w:rsidRPr="00163514">
        <w:t>7.</w:t>
      </w:r>
      <w:r w:rsidRPr="00163514">
        <w:tab/>
        <w:t>oceňuje prebiehajúce zlepšovania v oblasti mechanizmu uhlíkovej kompenzácie na hraniciach (</w:t>
      </w:r>
      <w:r w:rsidR="00DF1D01" w:rsidRPr="00163514">
        <w:t>ďalej len „</w:t>
      </w:r>
      <w:r w:rsidRPr="00163514">
        <w:t>CBAM</w:t>
      </w:r>
      <w:r w:rsidR="00DF1D01" w:rsidRPr="00163514">
        <w:t>“</w:t>
      </w:r>
      <w:r w:rsidRPr="00163514">
        <w:t>), ale kladie si otázku, prečo by zjednodušenie nariadenia o mechanizme CBAM malo viesť k zvýšeniu potrieb rádovo o 8 miliónov EUR, a nie k zníženiu v dôsledku zvýšenia efektívnosti;</w:t>
      </w:r>
    </w:p>
    <w:p w14:paraId="5E9604B2" w14:textId="77777777" w:rsidR="00B54F83" w:rsidRPr="00163514" w:rsidRDefault="00B54F83" w:rsidP="00B54F83">
      <w:pPr>
        <w:pStyle w:val="NormalHanging12a"/>
      </w:pPr>
      <w:r w:rsidRPr="00163514">
        <w:t>8.</w:t>
      </w:r>
      <w:r w:rsidRPr="00163514">
        <w:tab/>
        <w:t>ďalej považuje za sporné kompenzovať dodatočné potreby centralizovaného colného systému v okruhu 1 a mechanizmu CBAM v okruhu 3 zodpovedajúcim znížením pridelených rozpočtových prostriedkov v rámci Nástroja na vybavenie na colné kontroly v okruhu 4; vyjadruje poľutovanie nad tým, že súčasná rozpočtová situácia viedla Komisiu k prerozdeleniu značných finančných prostriedkov v rámci okruhov, a pripomína svoju dlhodobú pozíciu, že nové politické priority, úlohy alebo potreby by mali byť sprevádzané novými finančnými prostriedkami; jasne zdôrazňuje, že opakujúce sa prerozdeľovanie prostriedkov nie je vhodným spôsobom financovania priorít Únie, pretože poškodzuje investície a ohrozuje plnenie dohodnutých politických cieľov;</w:t>
      </w:r>
    </w:p>
    <w:p w14:paraId="3C3F0897" w14:textId="77777777" w:rsidR="00B54F83" w:rsidRPr="00163514" w:rsidRDefault="00B54F83" w:rsidP="00B54F83">
      <w:pPr>
        <w:pStyle w:val="NormalHanging12a"/>
      </w:pPr>
      <w:r w:rsidRPr="00163514">
        <w:t>9.</w:t>
      </w:r>
      <w:r w:rsidRPr="00163514">
        <w:tab/>
        <w:t>zdôrazňuje a víta, že niektoré zmeny v pláne pracovných miest Úradu EÚ pre boj proti praniu špinavých peňazí umožnia tejto agentúre vykonávať svoje úlohy včas a účinne; pripomína, že táto kľúčová inštitúcia zohráva ústrednú úlohu pri ochrane peňazí daňových poplatníkov a Európsky parlament ju výrazne podporuje;</w:t>
      </w:r>
    </w:p>
    <w:p w14:paraId="59396038" w14:textId="77777777" w:rsidR="00B54F83" w:rsidRPr="00163514" w:rsidRDefault="00B54F83" w:rsidP="00B54F83">
      <w:pPr>
        <w:pStyle w:val="NormalHanging12a"/>
      </w:pPr>
      <w:r w:rsidRPr="00163514">
        <w:lastRenderedPageBreak/>
        <w:t>10.</w:t>
      </w:r>
      <w:r w:rsidRPr="00163514">
        <w:tab/>
        <w:t>víta pokrok Bulharska smerom k zavedeniu eura a plne podporuje dodatočné prostriedky na sprevádzanie prechodu na euro vhodnými a cielenými komunikačnými činnosťami; uznáva, že vzhľadom na absenciu nepridelenej rezervy v okruhu 2b sa na tento účel musí mobilizovať nástroj flexibility;</w:t>
      </w:r>
    </w:p>
    <w:p w14:paraId="092D3C9B" w14:textId="77777777" w:rsidR="00B54F83" w:rsidRPr="00163514" w:rsidRDefault="00B54F83" w:rsidP="00B54F83">
      <w:pPr>
        <w:pStyle w:val="NormalHanging12a"/>
      </w:pPr>
      <w:r w:rsidRPr="00163514">
        <w:t>11.</w:t>
      </w:r>
      <w:r w:rsidRPr="00163514">
        <w:tab/>
        <w:t>schvaľuje pozíciu Rady k návrhu opravného rozpočtu č. 2/2025;</w:t>
      </w:r>
    </w:p>
    <w:p w14:paraId="277ACE3E" w14:textId="77777777" w:rsidR="00B54F83" w:rsidRPr="00163514" w:rsidRDefault="00B54F83" w:rsidP="00B54F83">
      <w:pPr>
        <w:pStyle w:val="NormalHanging12a"/>
      </w:pPr>
      <w:r w:rsidRPr="00163514">
        <w:t>12.</w:t>
      </w:r>
      <w:r w:rsidRPr="00163514">
        <w:tab/>
        <w:t xml:space="preserve">poveruje svoju predsedníčku, aby vyhlásila opravný rozpočet č. 2/2025 za prijatý s konečnou platnosťou a aby zabezpečila jeho uverejnenie v </w:t>
      </w:r>
      <w:r w:rsidRPr="00163514">
        <w:rPr>
          <w:i/>
          <w:iCs/>
        </w:rPr>
        <w:t>Úradnom vestníku Európskej únie</w:t>
      </w:r>
      <w:r w:rsidRPr="00163514">
        <w:t>;</w:t>
      </w:r>
    </w:p>
    <w:p w14:paraId="546A87EC" w14:textId="004E6D88" w:rsidR="00E365E1" w:rsidRPr="00163514" w:rsidRDefault="00B54F83" w:rsidP="007F2DB0">
      <w:pPr>
        <w:pStyle w:val="NormalHanging12a"/>
      </w:pPr>
      <w:r w:rsidRPr="00163514">
        <w:t>13.</w:t>
      </w:r>
      <w:r w:rsidRPr="00163514">
        <w:tab/>
        <w:t>poveruje svoju predsedníčku, aby postúpila toto uznesenie Rade, Komisii a ďalším príslušným inštitúciám a orgánom, ako aj národným parlamentom.</w:t>
      </w:r>
    </w:p>
    <w:sectPr w:rsidR="00E365E1" w:rsidRPr="00163514" w:rsidSect="00D81D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3B725" w14:textId="77777777" w:rsidR="00363CE9" w:rsidRPr="00D81D01" w:rsidRDefault="00363CE9">
      <w:r w:rsidRPr="00D81D01">
        <w:separator/>
      </w:r>
    </w:p>
  </w:endnote>
  <w:endnote w:type="continuationSeparator" w:id="0">
    <w:p w14:paraId="49969F94" w14:textId="77777777" w:rsidR="00363CE9" w:rsidRPr="00D81D01" w:rsidRDefault="00363CE9">
      <w:r w:rsidRPr="00D81D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B348B" w14:textId="77777777" w:rsidR="00064002" w:rsidRPr="00D81D0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13A42" w14:textId="77777777" w:rsidR="00064002" w:rsidRPr="00D81D0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EFF41" w14:textId="77777777" w:rsidR="00064002" w:rsidRPr="00D81D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F79E0" w14:textId="77777777" w:rsidR="00363CE9" w:rsidRPr="00D81D01" w:rsidRDefault="00363CE9">
      <w:r w:rsidRPr="00D81D01">
        <w:separator/>
      </w:r>
    </w:p>
  </w:footnote>
  <w:footnote w:type="continuationSeparator" w:id="0">
    <w:p w14:paraId="00E4AB25" w14:textId="77777777" w:rsidR="00363CE9" w:rsidRPr="00D81D01" w:rsidRDefault="00363CE9">
      <w:r w:rsidRPr="00D81D01">
        <w:continuationSeparator/>
      </w:r>
    </w:p>
  </w:footnote>
  <w:footnote w:id="1">
    <w:p w14:paraId="436B8688" w14:textId="19C341EC" w:rsidR="00B54F83" w:rsidRPr="00D81D01" w:rsidRDefault="00B54F83" w:rsidP="00D81D01">
      <w:pPr>
        <w:pStyle w:val="FootnoteText"/>
        <w:ind w:left="567" w:hanging="567"/>
        <w:rPr>
          <w:sz w:val="24"/>
          <w:lang w:val="sk-SK"/>
        </w:rPr>
      </w:pPr>
      <w:r w:rsidRPr="00D81D01">
        <w:rPr>
          <w:rStyle w:val="FootnoteReference"/>
          <w:sz w:val="24"/>
          <w:lang w:val="sk-SK"/>
        </w:rPr>
        <w:footnoteRef/>
      </w:r>
      <w:r w:rsidR="00D81D01" w:rsidRPr="00D81D01">
        <w:rPr>
          <w:sz w:val="24"/>
          <w:lang w:val="sk-SK"/>
        </w:rPr>
        <w:t xml:space="preserve"> </w:t>
      </w:r>
      <w:r w:rsidR="00D81D01" w:rsidRPr="00D81D01">
        <w:rPr>
          <w:sz w:val="24"/>
          <w:lang w:val="sk-SK"/>
        </w:rPr>
        <w:tab/>
      </w:r>
      <w:r w:rsidRPr="00D81D01">
        <w:rPr>
          <w:sz w:val="24"/>
          <w:lang w:val="sk-SK"/>
        </w:rPr>
        <w:t xml:space="preserve">Ú. v. EÚ L, 2024/2509, 26.9.2024, ELI: </w:t>
      </w:r>
      <w:hyperlink r:id="rId1" w:history="1">
        <w:r w:rsidRPr="00D81D01">
          <w:rPr>
            <w:rStyle w:val="Hyperlink"/>
            <w:sz w:val="24"/>
            <w:lang w:val="sk-SK"/>
          </w:rPr>
          <w:t>http://data.europa.eu/eli/reg/2024/2509/oj</w:t>
        </w:r>
      </w:hyperlink>
      <w:r w:rsidRPr="00D81D01">
        <w:rPr>
          <w:sz w:val="24"/>
          <w:lang w:val="sk-SK"/>
        </w:rPr>
        <w:t>.</w:t>
      </w:r>
    </w:p>
  </w:footnote>
  <w:footnote w:id="2">
    <w:p w14:paraId="0F14E98C" w14:textId="7FAF5006" w:rsidR="00B54F83" w:rsidRPr="00D81D01" w:rsidRDefault="00B54F83" w:rsidP="00D81D01">
      <w:pPr>
        <w:pStyle w:val="FootnoteText"/>
        <w:ind w:left="567" w:hanging="567"/>
        <w:rPr>
          <w:rStyle w:val="Hyperlink"/>
          <w:sz w:val="24"/>
          <w:lang w:val="sk-SK"/>
        </w:rPr>
      </w:pPr>
      <w:r w:rsidRPr="00D81D01">
        <w:rPr>
          <w:rStyle w:val="FootnoteReference"/>
          <w:sz w:val="24"/>
          <w:lang w:val="sk-SK"/>
        </w:rPr>
        <w:footnoteRef/>
      </w:r>
      <w:r w:rsidR="00D81D01" w:rsidRPr="00D81D01">
        <w:rPr>
          <w:sz w:val="24"/>
          <w:lang w:val="sk-SK"/>
        </w:rPr>
        <w:t xml:space="preserve"> </w:t>
      </w:r>
      <w:r w:rsidR="00D81D01" w:rsidRPr="00D81D01">
        <w:rPr>
          <w:sz w:val="24"/>
          <w:lang w:val="sk-SK"/>
        </w:rPr>
        <w:tab/>
      </w:r>
      <w:r w:rsidRPr="00D81D01">
        <w:rPr>
          <w:sz w:val="24"/>
          <w:lang w:val="sk-SK"/>
        </w:rPr>
        <w:t xml:space="preserve">Ú. v. </w:t>
      </w:r>
      <w:r w:rsidRPr="00D81D01">
        <w:rPr>
          <w:sz w:val="24"/>
          <w:lang w:val="sk-SK"/>
        </w:rPr>
        <w:t xml:space="preserve">EÚ L, 2025/31, 27.2.2025, ELI: </w:t>
      </w:r>
      <w:hyperlink r:id="rId2" w:history="1">
        <w:r w:rsidRPr="00D81D01">
          <w:rPr>
            <w:rStyle w:val="Hyperlink"/>
            <w:sz w:val="24"/>
            <w:lang w:val="sk-SK"/>
          </w:rPr>
          <w:t>http://data.europa.eu/eli/budget/2025/31/oj</w:t>
        </w:r>
      </w:hyperlink>
      <w:r w:rsidRPr="00D81D01">
        <w:rPr>
          <w:rStyle w:val="Hyperlink"/>
          <w:sz w:val="24"/>
          <w:lang w:val="sk-SK"/>
        </w:rPr>
        <w:t>.</w:t>
      </w:r>
    </w:p>
  </w:footnote>
  <w:footnote w:id="3">
    <w:p w14:paraId="3050670B" w14:textId="5FCDCAA8" w:rsidR="00B54F83" w:rsidRPr="00D81D01" w:rsidRDefault="00B54F83" w:rsidP="00D81D01">
      <w:pPr>
        <w:pStyle w:val="FootnoteText"/>
        <w:ind w:left="567" w:hanging="567"/>
        <w:rPr>
          <w:rStyle w:val="Hyperlink"/>
          <w:sz w:val="24"/>
          <w:lang w:val="sk-SK"/>
        </w:rPr>
      </w:pPr>
      <w:r w:rsidRPr="00D81D01">
        <w:rPr>
          <w:rStyle w:val="FootnoteReference"/>
          <w:sz w:val="24"/>
          <w:lang w:val="sk-SK"/>
        </w:rPr>
        <w:footnoteRef/>
      </w:r>
      <w:r w:rsidR="00D81D01" w:rsidRPr="00D81D01">
        <w:rPr>
          <w:sz w:val="24"/>
          <w:lang w:val="sk-SK"/>
        </w:rPr>
        <w:t xml:space="preserve"> </w:t>
      </w:r>
      <w:r w:rsidR="00D81D01" w:rsidRPr="00D81D01">
        <w:rPr>
          <w:sz w:val="24"/>
          <w:lang w:val="sk-SK"/>
        </w:rPr>
        <w:tab/>
      </w:r>
      <w:r w:rsidRPr="00D81D01">
        <w:rPr>
          <w:sz w:val="24"/>
          <w:lang w:val="sk-SK"/>
        </w:rPr>
        <w:t xml:space="preserve">Ú. v. EÚ L 433 I, 22.12.2020, s. </w:t>
      </w:r>
      <w:r w:rsidRPr="00D81D01">
        <w:rPr>
          <w:sz w:val="24"/>
          <w:lang w:val="sk-SK"/>
        </w:rPr>
        <w:t xml:space="preserve">11, ELI: </w:t>
      </w:r>
      <w:hyperlink r:id="rId3" w:history="1">
        <w:r w:rsidRPr="00D81D01">
          <w:rPr>
            <w:rStyle w:val="Hyperlink"/>
            <w:sz w:val="24"/>
            <w:lang w:val="sk-SK"/>
          </w:rPr>
          <w:t>http://data.europa.eu/eli/reg/2020/433/oj</w:t>
        </w:r>
      </w:hyperlink>
      <w:r w:rsidRPr="00D81D01">
        <w:rPr>
          <w:rStyle w:val="Hyperlink"/>
          <w:sz w:val="24"/>
          <w:lang w:val="sk-SK"/>
        </w:rPr>
        <w:t>.</w:t>
      </w:r>
    </w:p>
  </w:footnote>
  <w:footnote w:id="4">
    <w:p w14:paraId="178DD9E7" w14:textId="797E25D8" w:rsidR="00B54F83" w:rsidRPr="00D81D01" w:rsidRDefault="00B54F83" w:rsidP="00D81D01">
      <w:pPr>
        <w:pStyle w:val="FootnoteText"/>
        <w:ind w:left="567" w:hanging="567"/>
        <w:rPr>
          <w:sz w:val="24"/>
          <w:lang w:val="sk-SK"/>
        </w:rPr>
      </w:pPr>
      <w:r w:rsidRPr="00D81D01">
        <w:rPr>
          <w:rStyle w:val="FootnoteReference"/>
          <w:sz w:val="24"/>
          <w:lang w:val="sk-SK"/>
        </w:rPr>
        <w:footnoteRef/>
      </w:r>
      <w:r w:rsidR="00D81D01" w:rsidRPr="00D81D01">
        <w:rPr>
          <w:sz w:val="24"/>
          <w:lang w:val="sk-SK"/>
        </w:rPr>
        <w:t xml:space="preserve"> </w:t>
      </w:r>
      <w:r w:rsidR="00D81D01" w:rsidRPr="00D81D01">
        <w:rPr>
          <w:sz w:val="24"/>
          <w:lang w:val="sk-SK"/>
        </w:rPr>
        <w:tab/>
      </w:r>
      <w:r w:rsidRPr="00D81D01">
        <w:rPr>
          <w:sz w:val="24"/>
          <w:lang w:val="sk-SK"/>
        </w:rPr>
        <w:t xml:space="preserve">Ú. v. EÚ L 433 I, 22.12.2020, s. </w:t>
      </w:r>
      <w:r w:rsidRPr="00D81D01">
        <w:rPr>
          <w:sz w:val="24"/>
          <w:lang w:val="sk-SK"/>
        </w:rPr>
        <w:t xml:space="preserve">28, ELI: </w:t>
      </w:r>
      <w:hyperlink r:id="rId4" w:history="1">
        <w:r w:rsidRPr="00D81D01">
          <w:rPr>
            <w:rStyle w:val="Hyperlink"/>
            <w:sz w:val="24"/>
            <w:lang w:val="sk-SK"/>
          </w:rPr>
          <w:t>http://data.europa.eu/eli/agree_interinstit/2020/1222/oj</w:t>
        </w:r>
      </w:hyperlink>
      <w:r w:rsidRPr="00D81D01">
        <w:rPr>
          <w:rStyle w:val="Hyperlink"/>
          <w:sz w:val="24"/>
          <w:lang w:val="sk-SK"/>
        </w:rPr>
        <w:t>.</w:t>
      </w:r>
    </w:p>
  </w:footnote>
  <w:footnote w:id="5">
    <w:p w14:paraId="37ED42A4" w14:textId="722E5DDF" w:rsidR="00B54F83" w:rsidRPr="00D81D01" w:rsidRDefault="00B54F83" w:rsidP="00D81D01">
      <w:pPr>
        <w:pStyle w:val="FootnoteText"/>
        <w:ind w:left="567" w:hanging="567"/>
        <w:rPr>
          <w:sz w:val="24"/>
          <w:lang w:val="sk-SK"/>
        </w:rPr>
      </w:pPr>
      <w:r w:rsidRPr="00D81D01">
        <w:rPr>
          <w:rStyle w:val="FootnoteReference"/>
          <w:sz w:val="24"/>
          <w:lang w:val="sk-SK"/>
        </w:rPr>
        <w:footnoteRef/>
      </w:r>
      <w:r w:rsidR="00D81D01" w:rsidRPr="00D81D01">
        <w:rPr>
          <w:sz w:val="24"/>
          <w:lang w:val="sk-SK"/>
        </w:rPr>
        <w:t xml:space="preserve"> </w:t>
      </w:r>
      <w:r w:rsidR="00D81D01" w:rsidRPr="00D81D01">
        <w:rPr>
          <w:sz w:val="24"/>
          <w:lang w:val="sk-SK"/>
        </w:rPr>
        <w:tab/>
      </w:r>
      <w:r w:rsidRPr="00D81D01">
        <w:rPr>
          <w:sz w:val="24"/>
          <w:lang w:val="sk-SK"/>
        </w:rPr>
        <w:t>Ú. v. EÚ L 424,</w:t>
      </w:r>
      <w:r w:rsidR="00A51CC2">
        <w:rPr>
          <w:sz w:val="24"/>
          <w:lang w:val="sk-SK"/>
        </w:rPr>
        <w:t xml:space="preserve"> </w:t>
      </w:r>
      <w:r w:rsidRPr="00D81D01">
        <w:rPr>
          <w:sz w:val="24"/>
          <w:lang w:val="sk-SK"/>
        </w:rPr>
        <w:t xml:space="preserve">15.12.2020, s. </w:t>
      </w:r>
      <w:r w:rsidRPr="00D81D01">
        <w:rPr>
          <w:sz w:val="24"/>
          <w:lang w:val="sk-SK"/>
        </w:rPr>
        <w:t xml:space="preserve">1, ELI: </w:t>
      </w:r>
      <w:hyperlink r:id="rId5" w:history="1">
        <w:r w:rsidRPr="00D81D01">
          <w:rPr>
            <w:rStyle w:val="Hyperlink"/>
            <w:sz w:val="24"/>
            <w:lang w:val="sk-SK"/>
          </w:rPr>
          <w:t>http://data.europa.eu/eli/dec/2020/2053/oj</w:t>
        </w:r>
      </w:hyperlink>
      <w:r w:rsidRPr="00D81D01">
        <w:rPr>
          <w:rStyle w:val="Hyperlink"/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5C720" w14:textId="77777777" w:rsidR="00064002" w:rsidRPr="00D81D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BE361" w14:textId="77777777" w:rsidR="00064002" w:rsidRPr="00D81D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78E95" w14:textId="77777777" w:rsidR="00064002" w:rsidRPr="00D81D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75725323">
    <w:abstractNumId w:val="9"/>
  </w:num>
  <w:num w:numId="2" w16cid:durableId="171188454">
    <w:abstractNumId w:val="9"/>
  </w:num>
  <w:num w:numId="3" w16cid:durableId="738674140">
    <w:abstractNumId w:val="7"/>
  </w:num>
  <w:num w:numId="4" w16cid:durableId="1681202620">
    <w:abstractNumId w:val="7"/>
  </w:num>
  <w:num w:numId="5" w16cid:durableId="1897010106">
    <w:abstractNumId w:val="6"/>
  </w:num>
  <w:num w:numId="6" w16cid:durableId="966163106">
    <w:abstractNumId w:val="6"/>
  </w:num>
  <w:num w:numId="7" w16cid:durableId="243422119">
    <w:abstractNumId w:val="5"/>
  </w:num>
  <w:num w:numId="8" w16cid:durableId="68232243">
    <w:abstractNumId w:val="5"/>
  </w:num>
  <w:num w:numId="9" w16cid:durableId="152067461">
    <w:abstractNumId w:val="4"/>
  </w:num>
  <w:num w:numId="10" w16cid:durableId="1886061397">
    <w:abstractNumId w:val="4"/>
  </w:num>
  <w:num w:numId="11" w16cid:durableId="1119186354">
    <w:abstractNumId w:val="8"/>
  </w:num>
  <w:num w:numId="12" w16cid:durableId="2067953785">
    <w:abstractNumId w:val="8"/>
  </w:num>
  <w:num w:numId="13" w16cid:durableId="914631000">
    <w:abstractNumId w:val="3"/>
  </w:num>
  <w:num w:numId="14" w16cid:durableId="314266154">
    <w:abstractNumId w:val="3"/>
  </w:num>
  <w:num w:numId="15" w16cid:durableId="910389665">
    <w:abstractNumId w:val="2"/>
  </w:num>
  <w:num w:numId="16" w16cid:durableId="414395949">
    <w:abstractNumId w:val="2"/>
  </w:num>
  <w:num w:numId="17" w16cid:durableId="1249315736">
    <w:abstractNumId w:val="1"/>
  </w:num>
  <w:num w:numId="18" w16cid:durableId="1112818644">
    <w:abstractNumId w:val="1"/>
  </w:num>
  <w:num w:numId="19" w16cid:durableId="1740900841">
    <w:abstractNumId w:val="0"/>
  </w:num>
  <w:num w:numId="20" w16cid:durableId="916981010">
    <w:abstractNumId w:val="0"/>
  </w:num>
  <w:num w:numId="21" w16cid:durableId="376662896">
    <w:abstractNumId w:val="9"/>
  </w:num>
  <w:num w:numId="22" w16cid:durableId="1725518162">
    <w:abstractNumId w:val="7"/>
  </w:num>
  <w:num w:numId="23" w16cid:durableId="1318726376">
    <w:abstractNumId w:val="6"/>
  </w:num>
  <w:num w:numId="24" w16cid:durableId="1225409743">
    <w:abstractNumId w:val="5"/>
  </w:num>
  <w:num w:numId="25" w16cid:durableId="1565603962">
    <w:abstractNumId w:val="4"/>
  </w:num>
  <w:num w:numId="26" w16cid:durableId="670910161">
    <w:abstractNumId w:val="8"/>
  </w:num>
  <w:num w:numId="27" w16cid:durableId="1437750919">
    <w:abstractNumId w:val="3"/>
  </w:num>
  <w:num w:numId="28" w16cid:durableId="1513490770">
    <w:abstractNumId w:val="2"/>
  </w:num>
  <w:num w:numId="29" w16cid:durableId="1231846379">
    <w:abstractNumId w:val="1"/>
  </w:num>
  <w:num w:numId="30" w16cid:durableId="920800507">
    <w:abstractNumId w:val="0"/>
  </w:num>
  <w:num w:numId="31" w16cid:durableId="975641763">
    <w:abstractNumId w:val="9"/>
  </w:num>
  <w:num w:numId="32" w16cid:durableId="150175143">
    <w:abstractNumId w:val="7"/>
  </w:num>
  <w:num w:numId="33" w16cid:durableId="441338385">
    <w:abstractNumId w:val="6"/>
  </w:num>
  <w:num w:numId="34" w16cid:durableId="1049494762">
    <w:abstractNumId w:val="5"/>
  </w:num>
  <w:num w:numId="35" w16cid:durableId="1021207261">
    <w:abstractNumId w:val="4"/>
  </w:num>
  <w:num w:numId="36" w16cid:durableId="699627220">
    <w:abstractNumId w:val="8"/>
  </w:num>
  <w:num w:numId="37" w16cid:durableId="619799444">
    <w:abstractNumId w:val="3"/>
  </w:num>
  <w:num w:numId="38" w16cid:durableId="103501763">
    <w:abstractNumId w:val="2"/>
  </w:num>
  <w:num w:numId="39" w16cid:durableId="15427839">
    <w:abstractNumId w:val="1"/>
  </w:num>
  <w:num w:numId="40" w16cid:durableId="1751199521">
    <w:abstractNumId w:val="0"/>
  </w:num>
  <w:num w:numId="41" w16cid:durableId="1086153790">
    <w:abstractNumId w:val="10"/>
  </w:num>
  <w:num w:numId="42" w16cid:durableId="2034068532">
    <w:abstractNumId w:val="10"/>
  </w:num>
  <w:num w:numId="43" w16cid:durableId="253051811">
    <w:abstractNumId w:val="10"/>
  </w:num>
  <w:num w:numId="44" w16cid:durableId="2599166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5/2025"/>
    <w:docVar w:name="dvlangue" w:val="SK"/>
    <w:docVar w:name="dvnumam" w:val="0"/>
    <w:docVar w:name="dvpe" w:val="776.838"/>
    <w:docVar w:name="dvrapporteur" w:val="Spravodajca: "/>
    <w:docVar w:name="dvtitre" w:val="Uznesenie Európskeho parlamentu z xx. októbra 2025 o pozícii Rady k návrhu opravného rozpočtu Európskej únie č. 2/2025 na rozpočtový rok 2025 – aktualizácia príjmov (vlastné zdroje) a úpravy výdavkov(12353/2025 – C10-0209/2025 – 2025/0206(BUD))"/>
  </w:docVars>
  <w:rsids>
    <w:rsidRoot w:val="00363CE9"/>
    <w:rsid w:val="00002272"/>
    <w:rsid w:val="00022309"/>
    <w:rsid w:val="00064002"/>
    <w:rsid w:val="000677B9"/>
    <w:rsid w:val="000831BA"/>
    <w:rsid w:val="000A42CC"/>
    <w:rsid w:val="000E7DD9"/>
    <w:rsid w:val="0010095E"/>
    <w:rsid w:val="00125B37"/>
    <w:rsid w:val="00163514"/>
    <w:rsid w:val="00187494"/>
    <w:rsid w:val="001F32AE"/>
    <w:rsid w:val="002155C2"/>
    <w:rsid w:val="002767FF"/>
    <w:rsid w:val="002B18FE"/>
    <w:rsid w:val="002B5493"/>
    <w:rsid w:val="00343214"/>
    <w:rsid w:val="00361C00"/>
    <w:rsid w:val="00363CE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49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3442"/>
    <w:rsid w:val="00786EC0"/>
    <w:rsid w:val="007D1690"/>
    <w:rsid w:val="007E22AD"/>
    <w:rsid w:val="007F2DB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CC2"/>
    <w:rsid w:val="00A778C7"/>
    <w:rsid w:val="00AB441E"/>
    <w:rsid w:val="00AB6293"/>
    <w:rsid w:val="00AE0928"/>
    <w:rsid w:val="00AF3B82"/>
    <w:rsid w:val="00B12E95"/>
    <w:rsid w:val="00B22876"/>
    <w:rsid w:val="00B54F83"/>
    <w:rsid w:val="00B558F0"/>
    <w:rsid w:val="00BD48FE"/>
    <w:rsid w:val="00BD7BD8"/>
    <w:rsid w:val="00BE6ADC"/>
    <w:rsid w:val="00C05BFE"/>
    <w:rsid w:val="00C23CD4"/>
    <w:rsid w:val="00C41C20"/>
    <w:rsid w:val="00C61C0C"/>
    <w:rsid w:val="00C941CB"/>
    <w:rsid w:val="00CC2357"/>
    <w:rsid w:val="00CF071A"/>
    <w:rsid w:val="00D058B8"/>
    <w:rsid w:val="00D56C11"/>
    <w:rsid w:val="00D81D01"/>
    <w:rsid w:val="00D834A0"/>
    <w:rsid w:val="00D872DF"/>
    <w:rsid w:val="00D91E21"/>
    <w:rsid w:val="00DA7FCD"/>
    <w:rsid w:val="00DF1D01"/>
    <w:rsid w:val="00E365E1"/>
    <w:rsid w:val="00E820A4"/>
    <w:rsid w:val="00E93AD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DE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32767B"/>
  <w15:chartTrackingRefBased/>
  <w15:docId w15:val="{A7EC3D93-6191-49BC-85EB-78CC1B6BA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54F83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B54F83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B54F8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B54F83"/>
    <w:rPr>
      <w:sz w:val="24"/>
      <w:lang w:val="sk-SK"/>
    </w:rPr>
  </w:style>
  <w:style w:type="paragraph" w:styleId="Revision">
    <w:name w:val="Revision"/>
    <w:hidden/>
    <w:uiPriority w:val="99"/>
    <w:semiHidden/>
    <w:rsid w:val="007F2DB0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433/oj" TargetMode="External"/><Relationship Id="rId2" Type="http://schemas.openxmlformats.org/officeDocument/2006/relationships/hyperlink" Target="http://data.europa.eu/eli/budget/2025/31/oj%20" TargetMode="External"/><Relationship Id="rId1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1229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2025-10-08T13:38:00Z</dcterms:created>
  <dcterms:modified xsi:type="dcterms:W3CDTF">2025-10-08T13:38:00Z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A10-0165/2025</vt:lpwstr>
  </property>
  <property fmtid="{D5CDD505-2E9C-101B-9397-08002B2CF9AE}" pid="4" name="&lt;Type&gt;">
    <vt:lpwstr>RR</vt:lpwstr>
  </property>
</Properties>
</file>