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0574" w14:paraId="2DA86DE4" w14:textId="77777777" w:rsidTr="0010095E">
        <w:trPr>
          <w:trHeight w:hRule="exact" w:val="1418"/>
        </w:trPr>
        <w:tc>
          <w:tcPr>
            <w:tcW w:w="6804" w:type="dxa"/>
            <w:shd w:val="clear" w:color="auto" w:fill="auto"/>
            <w:vAlign w:val="center"/>
          </w:tcPr>
          <w:p w14:paraId="7FE1A35B" w14:textId="77777777" w:rsidR="00751A4A" w:rsidRPr="00AA0574" w:rsidRDefault="0051315C" w:rsidP="0010095E">
            <w:pPr>
              <w:pStyle w:val="EPName"/>
            </w:pPr>
            <w:r w:rsidRPr="00AA0574">
              <w:t>Evropski parlament</w:t>
            </w:r>
          </w:p>
          <w:p w14:paraId="0E44D0E6" w14:textId="77777777" w:rsidR="00751A4A" w:rsidRPr="00AA0574" w:rsidRDefault="005F1B17" w:rsidP="005F1B17">
            <w:pPr>
              <w:pStyle w:val="EPTerm"/>
              <w:rPr>
                <w:rStyle w:val="HideTWBExt"/>
                <w:noProof w:val="0"/>
                <w:vanish w:val="0"/>
                <w:color w:val="auto"/>
              </w:rPr>
            </w:pPr>
            <w:r w:rsidRPr="00AA0574">
              <w:t>2024</w:t>
            </w:r>
            <w:r w:rsidR="00817416" w:rsidRPr="00AA0574">
              <w:t>-202</w:t>
            </w:r>
            <w:r w:rsidRPr="00AA0574">
              <w:t>9</w:t>
            </w:r>
          </w:p>
        </w:tc>
        <w:tc>
          <w:tcPr>
            <w:tcW w:w="2268" w:type="dxa"/>
            <w:shd w:val="clear" w:color="auto" w:fill="auto"/>
          </w:tcPr>
          <w:p w14:paraId="010EBE55" w14:textId="77777777" w:rsidR="00751A4A" w:rsidRPr="00AA0574" w:rsidRDefault="00187494" w:rsidP="0010095E">
            <w:pPr>
              <w:pStyle w:val="EPLogo"/>
            </w:pPr>
            <w:r w:rsidRPr="00AA0574">
              <w:rPr>
                <w:noProof/>
                <w:lang w:eastAsia="ja-JP"/>
              </w:rPr>
              <w:drawing>
                <wp:inline distT="0" distB="0" distL="0" distR="0" wp14:anchorId="33F9A249" wp14:editId="0AD394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8C8159" w14:textId="77777777" w:rsidR="00D058B8" w:rsidRPr="00AA0574" w:rsidRDefault="00D058B8" w:rsidP="004C5D52">
      <w:pPr>
        <w:pStyle w:val="LineTop"/>
      </w:pPr>
    </w:p>
    <w:p w14:paraId="764AF72D" w14:textId="77777777" w:rsidR="00680577" w:rsidRPr="00AA0574" w:rsidRDefault="0051315C" w:rsidP="00680577">
      <w:pPr>
        <w:pStyle w:val="EPBodyTA1"/>
      </w:pPr>
      <w:r w:rsidRPr="00AA0574">
        <w:t>SPREJETA BESEDILA</w:t>
      </w:r>
    </w:p>
    <w:p w14:paraId="34F9789D" w14:textId="77777777" w:rsidR="00D058B8" w:rsidRPr="00AA0574" w:rsidRDefault="00D058B8" w:rsidP="00D058B8">
      <w:pPr>
        <w:pStyle w:val="LineBottom"/>
      </w:pPr>
    </w:p>
    <w:p w14:paraId="6194F99F" w14:textId="254ADB2A" w:rsidR="0051315C" w:rsidRPr="00AA0574" w:rsidRDefault="0051315C" w:rsidP="0051315C">
      <w:pPr>
        <w:pStyle w:val="ATHeading1"/>
      </w:pPr>
      <w:bookmarkStart w:id="0" w:name="TANumber"/>
      <w:r w:rsidRPr="00AA0574">
        <w:t>P10_TA(2025)</w:t>
      </w:r>
      <w:bookmarkEnd w:id="0"/>
      <w:r w:rsidR="003A593E">
        <w:t>0218</w:t>
      </w:r>
    </w:p>
    <w:p w14:paraId="2B3939C1" w14:textId="7913A9FD" w:rsidR="0051315C" w:rsidRPr="00AA0574" w:rsidRDefault="0051315C" w:rsidP="0051315C">
      <w:pPr>
        <w:pStyle w:val="ATHeading2"/>
      </w:pPr>
      <w:bookmarkStart w:id="1" w:name="title"/>
      <w:r w:rsidRPr="00AA0574">
        <w:t>Predlog spremembe proračuna št. 2</w:t>
      </w:r>
      <w:r w:rsidR="00C07E64">
        <w:t>/</w:t>
      </w:r>
      <w:r w:rsidRPr="00AA0574">
        <w:t>2025</w:t>
      </w:r>
      <w:r w:rsidR="00D7072C">
        <w:t>: p</w:t>
      </w:r>
      <w:r w:rsidRPr="00AA0574">
        <w:t>osodobitev prihodkov (lastnih sredstev) in prilagoditve odhodkov</w:t>
      </w:r>
      <w:bookmarkEnd w:id="1"/>
    </w:p>
    <w:p w14:paraId="4D6977A8" w14:textId="77777777" w:rsidR="0051315C" w:rsidRPr="00AA0574" w:rsidRDefault="0051315C" w:rsidP="0051315C">
      <w:pPr>
        <w:rPr>
          <w:i/>
          <w:vanish/>
        </w:rPr>
      </w:pPr>
      <w:r w:rsidRPr="00AA0574">
        <w:rPr>
          <w:i/>
        </w:rPr>
        <w:fldChar w:fldCharType="begin"/>
      </w:r>
      <w:r w:rsidRPr="00AA0574">
        <w:rPr>
          <w:i/>
        </w:rPr>
        <w:instrText xml:space="preserve"> TC"(</w:instrText>
      </w:r>
      <w:bookmarkStart w:id="2" w:name="DocNumber"/>
      <w:r w:rsidRPr="00AA0574">
        <w:rPr>
          <w:i/>
        </w:rPr>
        <w:instrText>A10-0165/2025</w:instrText>
      </w:r>
      <w:bookmarkEnd w:id="2"/>
      <w:r w:rsidRPr="00AA0574">
        <w:rPr>
          <w:i/>
        </w:rPr>
        <w:instrText xml:space="preserve"> - Poročevalec: Victor Negrescu)"\l3 \n&gt; \* MERGEFORMAT </w:instrText>
      </w:r>
      <w:r w:rsidRPr="00AA0574">
        <w:rPr>
          <w:i/>
        </w:rPr>
        <w:fldChar w:fldCharType="end"/>
      </w:r>
    </w:p>
    <w:p w14:paraId="62203A00" w14:textId="77777777" w:rsidR="0051315C" w:rsidRPr="00AA0574" w:rsidRDefault="0051315C" w:rsidP="0051315C">
      <w:pPr>
        <w:rPr>
          <w:vanish/>
        </w:rPr>
      </w:pPr>
      <w:bookmarkStart w:id="3" w:name="Commission"/>
      <w:r w:rsidRPr="00AA0574">
        <w:rPr>
          <w:vanish/>
        </w:rPr>
        <w:t>Odbor za proračun</w:t>
      </w:r>
      <w:bookmarkEnd w:id="3"/>
    </w:p>
    <w:p w14:paraId="095E0744" w14:textId="77777777" w:rsidR="0051315C" w:rsidRPr="00AA0574" w:rsidRDefault="0051315C" w:rsidP="0051315C">
      <w:pPr>
        <w:rPr>
          <w:vanish/>
        </w:rPr>
      </w:pPr>
      <w:bookmarkStart w:id="4" w:name="PE"/>
      <w:r w:rsidRPr="00AA0574">
        <w:rPr>
          <w:vanish/>
        </w:rPr>
        <w:t>PE776.838</w:t>
      </w:r>
      <w:bookmarkEnd w:id="4"/>
    </w:p>
    <w:p w14:paraId="77497971" w14:textId="5FCFFF6A" w:rsidR="0051315C" w:rsidRPr="00AA0574" w:rsidRDefault="004B2209" w:rsidP="0051315C">
      <w:pPr>
        <w:pStyle w:val="ATHeading3"/>
      </w:pPr>
      <w:bookmarkStart w:id="5" w:name="Sujet"/>
      <w:r>
        <w:t>R</w:t>
      </w:r>
      <w:r w:rsidR="0051315C" w:rsidRPr="00AA0574">
        <w:t xml:space="preserve">esolucija Evropskega parlamenta z dne </w:t>
      </w:r>
      <w:r>
        <w:t>8. oktobra</w:t>
      </w:r>
      <w:r w:rsidRPr="00AA0574">
        <w:t xml:space="preserve"> </w:t>
      </w:r>
      <w:r w:rsidR="0051315C" w:rsidRPr="00AA0574">
        <w:t>2025 o stališču Sveta o predlogu spremembe proračuna št. 2/2025 k splošnemu proračunu za leto 2025</w:t>
      </w:r>
      <w:r w:rsidR="008F6DDC">
        <w:t xml:space="preserve">: </w:t>
      </w:r>
      <w:r w:rsidR="0051315C" w:rsidRPr="00AA0574">
        <w:t>posodobitev prihodkov (iz naslova lastnih sredstev) in prilagoditve odhodkov</w:t>
      </w:r>
      <w:bookmarkEnd w:id="5"/>
      <w:r w:rsidR="0051315C" w:rsidRPr="00AA0574">
        <w:t xml:space="preserve"> </w:t>
      </w:r>
      <w:bookmarkStart w:id="6" w:name="References"/>
      <w:r w:rsidR="0051315C" w:rsidRPr="00AA0574">
        <w:t>(12353/2025 – C10-0209/2025 – 2025/0206(BUD))</w:t>
      </w:r>
      <w:bookmarkEnd w:id="6"/>
    </w:p>
    <w:p w14:paraId="53B77930" w14:textId="77777777" w:rsidR="005E6EC0" w:rsidRPr="00AA0574" w:rsidRDefault="005E6EC0" w:rsidP="005E6EC0">
      <w:pPr>
        <w:pStyle w:val="EPComma"/>
      </w:pPr>
      <w:r w:rsidRPr="00AA0574">
        <w:rPr>
          <w:i/>
        </w:rPr>
        <w:t>Evropski parlament</w:t>
      </w:r>
      <w:r w:rsidRPr="00AA0574">
        <w:t>,</w:t>
      </w:r>
    </w:p>
    <w:p w14:paraId="40B117F4" w14:textId="77777777" w:rsidR="005E6EC0" w:rsidRPr="00AA0574" w:rsidRDefault="005E6EC0" w:rsidP="005E6EC0">
      <w:pPr>
        <w:pStyle w:val="NormalHanging12a"/>
      </w:pPr>
      <w:r w:rsidRPr="00AA0574">
        <w:t>–</w:t>
      </w:r>
      <w:r w:rsidRPr="00AA0574">
        <w:tab/>
        <w:t>ob upoštevanju člena 314 Pogodbe o delovanju Evropske unije,</w:t>
      </w:r>
    </w:p>
    <w:p w14:paraId="64F0CC99" w14:textId="77777777" w:rsidR="005E6EC0" w:rsidRPr="00AA0574" w:rsidRDefault="005E6EC0" w:rsidP="005E6EC0">
      <w:pPr>
        <w:pStyle w:val="NormalHanging12a"/>
      </w:pPr>
      <w:r w:rsidRPr="00AA0574">
        <w:t>–</w:t>
      </w:r>
      <w:r w:rsidRPr="00AA0574">
        <w:tab/>
        <w:t>ob upoštevanju člena 106a Pogodbe o ustanovitvi Evropske skupnosti za atomsko energijo,</w:t>
      </w:r>
    </w:p>
    <w:p w14:paraId="04E5E513" w14:textId="179B8C7B" w:rsidR="005E6EC0" w:rsidRPr="00AA0574" w:rsidRDefault="005E6EC0" w:rsidP="005E6EC0">
      <w:pPr>
        <w:pStyle w:val="NormalHanging12a"/>
      </w:pPr>
      <w:r w:rsidRPr="00AA0574">
        <w:t>–</w:t>
      </w:r>
      <w:r w:rsidRPr="00AA0574">
        <w:tab/>
        <w:t>ob upoštevanju Uredbe (EU, Euratom) 2024/2509 Evropskega parlamenta in Sveta z dne 23. septembra 2024 o finančnih pravilih, ki se uporabljajo za splošni proračun Unije</w:t>
      </w:r>
      <w:r w:rsidRPr="00AA0574">
        <w:rPr>
          <w:rStyle w:val="FootnoteReference"/>
        </w:rPr>
        <w:footnoteReference w:id="1"/>
      </w:r>
      <w:r w:rsidRPr="00AA0574">
        <w:t xml:space="preserve">, </w:t>
      </w:r>
      <w:r w:rsidR="007942E2">
        <w:t xml:space="preserve">in </w:t>
      </w:r>
      <w:r w:rsidRPr="00AA0574">
        <w:t>zlasti člena 44,</w:t>
      </w:r>
    </w:p>
    <w:p w14:paraId="0291B511" w14:textId="77777777" w:rsidR="005E6EC0" w:rsidRPr="00AA0574" w:rsidRDefault="005E6EC0" w:rsidP="005E6EC0">
      <w:pPr>
        <w:pStyle w:val="NormalHanging12a"/>
      </w:pPr>
      <w:r w:rsidRPr="00AA0574">
        <w:t>–</w:t>
      </w:r>
      <w:r w:rsidRPr="00AA0574">
        <w:tab/>
        <w:t>ob upoštevanju splošnega proračuna Evropske unije za proračunsko leto 2025, ki je bil dokončno sprejet 27. novembra 2024</w:t>
      </w:r>
      <w:r w:rsidRPr="00AA0574">
        <w:rPr>
          <w:rStyle w:val="FootnoteReference"/>
        </w:rPr>
        <w:footnoteReference w:id="2"/>
      </w:r>
      <w:r w:rsidRPr="00AA0574">
        <w:t>,</w:t>
      </w:r>
    </w:p>
    <w:p w14:paraId="2ADBF244" w14:textId="77777777" w:rsidR="005E6EC0" w:rsidRPr="00AA0574" w:rsidRDefault="005E6EC0" w:rsidP="005E6EC0">
      <w:pPr>
        <w:pStyle w:val="NormalHanging12a"/>
      </w:pPr>
      <w:r w:rsidRPr="00AA0574">
        <w:t>–</w:t>
      </w:r>
      <w:r w:rsidRPr="00AA0574">
        <w:tab/>
        <w:t>ob upoštevanju Uredbe Sveta (EU, Euratom) 2020/2093 z dne 17. decembra 2020 o določitvi večletnega finančnega okvira za obdobje 2021–2027</w:t>
      </w:r>
      <w:r w:rsidRPr="00AA0574">
        <w:rPr>
          <w:rStyle w:val="FootnoteReference"/>
        </w:rPr>
        <w:footnoteReference w:id="3"/>
      </w:r>
      <w:r w:rsidRPr="00AA0574">
        <w:t>,</w:t>
      </w:r>
    </w:p>
    <w:p w14:paraId="52E9F12C" w14:textId="77777777" w:rsidR="005E6EC0" w:rsidRPr="00AA0574" w:rsidRDefault="005E6EC0" w:rsidP="005E6EC0">
      <w:pPr>
        <w:pStyle w:val="NormalHanging12a"/>
      </w:pPr>
      <w:r w:rsidRPr="00AA0574">
        <w:t>–</w:t>
      </w:r>
      <w:r w:rsidRPr="00AA0574">
        <w:tab/>
        <w:t xml:space="preserve">ob upoštevanju Medinstitucionalnega sporazuma z dne 16. decembra 2020 med Evropskim parlamentom, Svetom in Komisijo o proračunski disciplini, sodelovanju v proračunskih zadevah in dobrem finančnem </w:t>
      </w:r>
      <w:proofErr w:type="spellStart"/>
      <w:r w:rsidRPr="00AA0574">
        <w:t>poslovodenju</w:t>
      </w:r>
      <w:proofErr w:type="spellEnd"/>
      <w:r w:rsidRPr="00AA0574">
        <w:t xml:space="preserve"> ter novih virih lastnih sredstev, vključno s časovnim načrtom za njihovo uvedbo</w:t>
      </w:r>
      <w:r w:rsidRPr="00AA0574">
        <w:rPr>
          <w:rStyle w:val="FootnoteReference"/>
        </w:rPr>
        <w:footnoteReference w:id="4"/>
      </w:r>
      <w:r w:rsidRPr="00AA0574">
        <w:t>,</w:t>
      </w:r>
    </w:p>
    <w:p w14:paraId="73D606FD" w14:textId="77777777" w:rsidR="005E6EC0" w:rsidRPr="00AA0574" w:rsidRDefault="005E6EC0" w:rsidP="005E6EC0">
      <w:pPr>
        <w:pStyle w:val="NormalHanging12a"/>
      </w:pPr>
      <w:r w:rsidRPr="00AA0574">
        <w:t>–</w:t>
      </w:r>
      <w:r w:rsidRPr="00AA0574">
        <w:tab/>
        <w:t xml:space="preserve">ob upoštevanju Sklepa Sveta (EU, Euratom) 2020/2053 z dne 14. decembra 2020 o </w:t>
      </w:r>
      <w:r w:rsidRPr="00AA0574">
        <w:lastRenderedPageBreak/>
        <w:t>sistemu virov lastnih sredstev Evropske unije in razveljavitvi Sklepa 2014/335/EU, Euratom</w:t>
      </w:r>
      <w:r w:rsidRPr="00AA0574">
        <w:rPr>
          <w:rStyle w:val="FootnoteReference"/>
        </w:rPr>
        <w:footnoteReference w:id="5"/>
      </w:r>
      <w:r w:rsidRPr="00AA0574">
        <w:t>,</w:t>
      </w:r>
    </w:p>
    <w:p w14:paraId="74D7083A" w14:textId="77777777" w:rsidR="005E6EC0" w:rsidRPr="00AA0574" w:rsidRDefault="005E6EC0" w:rsidP="005E6EC0">
      <w:pPr>
        <w:pStyle w:val="NormalHanging12a"/>
      </w:pPr>
      <w:r w:rsidRPr="00AA0574">
        <w:t>–</w:t>
      </w:r>
      <w:r w:rsidRPr="00AA0574">
        <w:tab/>
        <w:t>ob upoštevanju predloga spremembe proračuna št. 2/2025, ki ga je Komisija sprejela 4. julija 2025 (COM(2025)0410),</w:t>
      </w:r>
    </w:p>
    <w:p w14:paraId="78637DB2" w14:textId="58D36905" w:rsidR="005E6EC0" w:rsidRPr="00AA0574" w:rsidRDefault="005E6EC0" w:rsidP="005E6EC0">
      <w:pPr>
        <w:pStyle w:val="NormalHanging12a"/>
      </w:pPr>
      <w:r w:rsidRPr="00AA0574">
        <w:t>–</w:t>
      </w:r>
      <w:r w:rsidRPr="00AA0574">
        <w:tab/>
        <w:t xml:space="preserve">ob upoštevanju stališča o predlogu spremembe proračuna št. 2/2025, ki ga je Svet sprejel 16. septembra 2025 in ga 17. septembra 2025 posredoval </w:t>
      </w:r>
      <w:r w:rsidR="007942E2">
        <w:t>Evropskemu p</w:t>
      </w:r>
      <w:r w:rsidR="007942E2" w:rsidRPr="00AA0574">
        <w:t xml:space="preserve">arlamentu </w:t>
      </w:r>
      <w:r w:rsidRPr="00AA0574">
        <w:t>(12353/2025 – C10</w:t>
      </w:r>
      <w:r w:rsidRPr="00AA0574">
        <w:noBreakHyphen/>
        <w:t>0209/2025),</w:t>
      </w:r>
    </w:p>
    <w:p w14:paraId="1BDA13C5" w14:textId="77777777" w:rsidR="005E6EC0" w:rsidRPr="00AA0574" w:rsidRDefault="005E6EC0" w:rsidP="005E6EC0">
      <w:pPr>
        <w:pStyle w:val="NormalHanging12a"/>
      </w:pPr>
      <w:r w:rsidRPr="00AA0574">
        <w:t>–</w:t>
      </w:r>
      <w:r w:rsidRPr="00AA0574">
        <w:tab/>
        <w:t>ob upoštevanju členov 96 in 98 Poslovnika,</w:t>
      </w:r>
    </w:p>
    <w:p w14:paraId="18353B05" w14:textId="77777777" w:rsidR="005E6EC0" w:rsidRPr="00AA0574" w:rsidRDefault="005E6EC0" w:rsidP="005E6EC0">
      <w:pPr>
        <w:pStyle w:val="NormalHanging12a"/>
      </w:pPr>
      <w:r w:rsidRPr="00AA0574">
        <w:t>–</w:t>
      </w:r>
      <w:r w:rsidRPr="00AA0574">
        <w:tab/>
        <w:t>ob upoštevanju poročila Odbora za proračun (A10</w:t>
      </w:r>
      <w:r w:rsidRPr="00AA0574">
        <w:noBreakHyphen/>
        <w:t>0165/2025),</w:t>
      </w:r>
    </w:p>
    <w:p w14:paraId="4D25E91C" w14:textId="77777777" w:rsidR="005E6EC0" w:rsidRPr="00AA0574" w:rsidRDefault="005E6EC0" w:rsidP="005E6EC0">
      <w:pPr>
        <w:pStyle w:val="NormalHanging12a"/>
      </w:pPr>
      <w:r w:rsidRPr="00AA0574">
        <w:t>A.</w:t>
      </w:r>
      <w:r w:rsidRPr="00AA0574">
        <w:tab/>
        <w:t>ker je namen predloga spremembe proračuna št. 2/2025 posodobiti prihodkovno stran proračuna, da se upošteva najnovejši razvoj dogodkov, prav tako pa prilagoditi več postavk na odhodkovni strani proračuna;</w:t>
      </w:r>
    </w:p>
    <w:p w14:paraId="426CBD26" w14:textId="77777777" w:rsidR="005E6EC0" w:rsidRPr="00AA0574" w:rsidRDefault="005E6EC0" w:rsidP="005E6EC0">
      <w:pPr>
        <w:pStyle w:val="NormalHanging12a"/>
      </w:pPr>
      <w:r w:rsidRPr="00AA0574">
        <w:t>B.</w:t>
      </w:r>
      <w:r w:rsidRPr="00AA0574">
        <w:tab/>
        <w:t xml:space="preserve">ker predlog spremembe proračuna št. 2/2025 vključuje revizijo napovedi lastnih sredstev v zvezi s carinami, ki so za 1 % nižje od napovedi iz maja 2024, omejeno osnovo za DDV, ki je za 2,4 % nižja od napovedi iz maja 2024, </w:t>
      </w:r>
      <w:proofErr w:type="spellStart"/>
      <w:r w:rsidRPr="00AA0574">
        <w:t>nereciklirano</w:t>
      </w:r>
      <w:proofErr w:type="spellEnd"/>
      <w:r w:rsidRPr="00AA0574">
        <w:t xml:space="preserve"> odpadno plastično embalažo, ki je za 3,5 % nižja od napovedi iz maja 2024, in skupno osnovo za BND EU, ki je za 0,5 % višja od napovedi iz maja 2024;</w:t>
      </w:r>
    </w:p>
    <w:p w14:paraId="60A13CCF" w14:textId="2073E07E" w:rsidR="005E6EC0" w:rsidRPr="00AA0574" w:rsidRDefault="005E6EC0" w:rsidP="005E6EC0">
      <w:pPr>
        <w:pStyle w:val="NormalHanging12a"/>
      </w:pPr>
      <w:r w:rsidRPr="00AA0574">
        <w:t>C.</w:t>
      </w:r>
      <w:r w:rsidRPr="00AA0574">
        <w:tab/>
        <w:t xml:space="preserve">ker predlog spremembe proračuna št. 2/2025 posodablja tudi prispevek Združenega kraljestva za leto 2025 </w:t>
      </w:r>
      <w:r w:rsidR="008058FB">
        <w:t>na podlagi</w:t>
      </w:r>
      <w:r w:rsidRPr="00AA0574">
        <w:t xml:space="preserve"> sporazum</w:t>
      </w:r>
      <w:r w:rsidR="008058FB">
        <w:t>a</w:t>
      </w:r>
      <w:r w:rsidRPr="00AA0574">
        <w:t xml:space="preserve"> o izstopu, ki znaša 1,53 milijarde EUR, kar je skromno zmanjšanje za 25 milijonov EUR v primerjavi z oceno, vključeno v proračun za leto 2025;</w:t>
      </w:r>
    </w:p>
    <w:p w14:paraId="24A6C185" w14:textId="77777777" w:rsidR="005E6EC0" w:rsidRPr="00AA0574" w:rsidRDefault="005E6EC0" w:rsidP="005E6EC0">
      <w:pPr>
        <w:pStyle w:val="NormalHanging12a"/>
      </w:pPr>
      <w:r w:rsidRPr="00AA0574">
        <w:t>D.</w:t>
      </w:r>
      <w:r w:rsidRPr="00AA0574">
        <w:tab/>
        <w:t>ker predlog spremembe proračuna št. 2/2025 upošteva tudi globe, kazni za kršitve in negativne donose, prejete do konca maja 2025, s čimer se prvotna napoved glob in kazni v proračunu za leto 2025 poveča za 291 milijonov EUR;</w:t>
      </w:r>
    </w:p>
    <w:p w14:paraId="2C5AC982" w14:textId="77777777" w:rsidR="005E6EC0" w:rsidRPr="00AA0574" w:rsidRDefault="005E6EC0" w:rsidP="005E6EC0">
      <w:pPr>
        <w:pStyle w:val="NormalHanging12a"/>
      </w:pPr>
      <w:r w:rsidRPr="00AA0574">
        <w:t>E.</w:t>
      </w:r>
      <w:r w:rsidRPr="00AA0574">
        <w:tab/>
        <w:t>ker predlog spremembe proračuna št. 2/2025 v zvezi z odhodki predlaga več posodobitev odobritev za prevzem obveznosti in odobritev plačil, zlasti povečanje plačil za Evropski kmetijski sklad za razvoj podeželja v višini 3,5 milijarde EUR;</w:t>
      </w:r>
    </w:p>
    <w:p w14:paraId="31F150ED" w14:textId="77777777" w:rsidR="005E6EC0" w:rsidRPr="00AA0574" w:rsidRDefault="005E6EC0" w:rsidP="005E6EC0">
      <w:pPr>
        <w:pStyle w:val="NormalHanging12a"/>
      </w:pPr>
      <w:r w:rsidRPr="00AA0574">
        <w:t>1.</w:t>
      </w:r>
      <w:r w:rsidRPr="00AA0574">
        <w:tab/>
        <w:t>je seznanjen s predlogom spremembe proračuna št. 2/2025, kot ga je predložila Komisija;</w:t>
      </w:r>
    </w:p>
    <w:p w14:paraId="11BA5FA1" w14:textId="77777777" w:rsidR="005E6EC0" w:rsidRPr="00AA0574" w:rsidRDefault="005E6EC0" w:rsidP="005E6EC0">
      <w:pPr>
        <w:pStyle w:val="NormalHanging12a"/>
      </w:pPr>
      <w:r w:rsidRPr="00AA0574">
        <w:t>2.</w:t>
      </w:r>
      <w:r w:rsidRPr="00AA0574">
        <w:tab/>
        <w:t>ugotavlja, da se je zaradi zmanjšanja zneska lastnih sredstev, ki niso BND, in potreb po dodatnih plačilih na strani odhodkov skupno povečala potreba po prispevkih iz BND v višini 4,3 milijarde EUR; se zaveda, da to pomeni spremembo enotne vpoklicne stopnje BND z 0,527 % (v predlogu spremembe proračuna št. 1/2025) na 0,547 % v predlogu spremembe proračuna št. 2/2025;</w:t>
      </w:r>
    </w:p>
    <w:p w14:paraId="35F35A90" w14:textId="13011D2D" w:rsidR="005E6EC0" w:rsidRPr="00AA0574" w:rsidRDefault="005E6EC0" w:rsidP="005E6EC0">
      <w:pPr>
        <w:pStyle w:val="NormalHanging12a"/>
      </w:pPr>
      <w:r w:rsidRPr="00AA0574">
        <w:t>3.</w:t>
      </w:r>
      <w:r w:rsidRPr="00AA0574">
        <w:tab/>
        <w:t>opozarja, da v predlogu spremembe proračuna št. 2/2025 pavšaln</w:t>
      </w:r>
      <w:r w:rsidR="00CB6FDD">
        <w:t>a</w:t>
      </w:r>
      <w:r w:rsidRPr="00AA0574">
        <w:t xml:space="preserve"> znižanj</w:t>
      </w:r>
      <w:r w:rsidR="00CB6FDD">
        <w:t>a</w:t>
      </w:r>
      <w:r w:rsidRPr="00AA0574">
        <w:t xml:space="preserve"> BND za pet držav članic upravičenk znaša</w:t>
      </w:r>
      <w:r w:rsidR="00CB6FDD">
        <w:t>jo</w:t>
      </w:r>
      <w:r w:rsidRPr="00AA0574">
        <w:t xml:space="preserve"> okoli 9,2 milijarde EUR (bruto); poudarja, da so ta znižanja vezana na inflacijo in so se zato povečevala bolj kot zgornje meje večletnega finančnega okvira, ki se letno prilagajajo na podlagi 2-odstotnega deflatorja; poudarja, </w:t>
      </w:r>
      <w:r w:rsidRPr="00AA0574">
        <w:lastRenderedPageBreak/>
        <w:t xml:space="preserve">da je bil proračun Unije v zadnjih nekaj letih precej obremenjen z odzivanjem na različne krize; poudarja, da ta odstopanja v zvezi z </w:t>
      </w:r>
      <w:r w:rsidR="00CB6FDD">
        <w:t>znižanji</w:t>
      </w:r>
      <w:r w:rsidR="00CB6FDD" w:rsidRPr="00AA0574">
        <w:t xml:space="preserve"> </w:t>
      </w:r>
      <w:r w:rsidRPr="00AA0574">
        <w:t>povečujejo breme za druge države članice;</w:t>
      </w:r>
    </w:p>
    <w:p w14:paraId="53E60D32" w14:textId="77777777" w:rsidR="005E6EC0" w:rsidRPr="00AA0574" w:rsidRDefault="005E6EC0" w:rsidP="005E6EC0">
      <w:pPr>
        <w:pStyle w:val="NormalHanging12a"/>
      </w:pPr>
      <w:r w:rsidRPr="00AA0574">
        <w:t>4.</w:t>
      </w:r>
      <w:r w:rsidRPr="00AA0574">
        <w:tab/>
        <w:t xml:space="preserve">pozdravlja nova prizadevanja Komisije, da bi predstavila več možnosti za nove vire prihodkov za proračun Unije; je v zvezi s tem seznanjen s predlogom Komisije za sklep Sveta o sistemu virov lastnih sredstev Evropske unije z dne 16. julija 2025; meni, da je treba hitro sprejeti nove vire lastnih sredstev, da bi povečali sredstva, ki so na voljo za proračun; poudarja, da morajo biti novi viri lastnih sredstev pravični in da niso pomembni zgolj za odplačevanje posojil v okviru instrumenta </w:t>
      </w:r>
      <w:proofErr w:type="spellStart"/>
      <w:r w:rsidRPr="00AA0574">
        <w:t>NextGenerationEU</w:t>
      </w:r>
      <w:proofErr w:type="spellEnd"/>
      <w:r w:rsidRPr="00AA0574">
        <w:t>, pač pa Uniji omogočajo tudi, da je zmožna kriti večje potrebe po porabi; v zvezi s tem želi spomniti na svoje dolgoletno stališče, da bi bilo treba nepričakovane prihodke, ki izhajajo iz glob in kazni ali njihovih enakovrednih zneskov, uporabiti kot dodatne prihodke za proračun Unije za odzivanje na krize ali nepričakovane potrebe in da se zaradi teh prihodkov ne bi smeli zmanjšati prispevki iz naslova BND; poudarja, da se v sedanjem večletnem finančnem okviru ti zneski „vračajo“ državam članicam;</w:t>
      </w:r>
    </w:p>
    <w:p w14:paraId="3B950A8F" w14:textId="77777777" w:rsidR="005E6EC0" w:rsidRPr="00AA0574" w:rsidRDefault="005E6EC0" w:rsidP="005E6EC0">
      <w:pPr>
        <w:pStyle w:val="NormalHanging12a"/>
      </w:pPr>
      <w:r w:rsidRPr="00AA0574">
        <w:t>5.</w:t>
      </w:r>
      <w:r w:rsidRPr="00AA0574">
        <w:tab/>
        <w:t>poudarja, da je za izkušnje iz nedavnih kriz – pandemije, energetski pretresi in vojna v Ukrajini – potreben resen razmislek o prožnosti v naslednjem večletnem finančnem okviru; ponavlja svoje stališče, da bi bilo treba prihodnji instrument prilagodljivosti financirati iz številnih dodatnih virov, vključno z letnim presežkom iz prejšnjega leta, globami in vrnjenimi sredstvi; je seznanjen z ustreznimi določbami v predlagani uredbi o večletnem finančnem okviru, v katerih Komisija predlaga, da se instrumentu prilagodljivosti dodajo nekateri zneski v skladu z dolgoletnimi zahtevami Parlamenta; opozarja pa, da se zaradi prožnosti ne bi smela zmanjševati preglednost;</w:t>
      </w:r>
    </w:p>
    <w:p w14:paraId="5FC2F028" w14:textId="77777777" w:rsidR="005E6EC0" w:rsidRPr="00AA0574" w:rsidRDefault="005E6EC0" w:rsidP="005E6EC0">
      <w:pPr>
        <w:pStyle w:val="NormalHanging12a"/>
      </w:pPr>
      <w:r w:rsidRPr="00AA0574">
        <w:t>6.</w:t>
      </w:r>
      <w:r w:rsidRPr="00AA0574">
        <w:tab/>
        <w:t>pozdravlja prilagoditve odobritev plačil za Sklad za razvoj podeželja navzgor, kar kaže, da se izvajanje strateških načrtov SKP za obdobje 2023–2027 ter intervencije v okviru programov za obdobje 2014–2020 pospešujejo in tako odpravljajo zamude iz prejšnjih proračunskih let;</w:t>
      </w:r>
    </w:p>
    <w:p w14:paraId="54841110" w14:textId="77777777" w:rsidR="005E6EC0" w:rsidRPr="00AA0574" w:rsidRDefault="005E6EC0" w:rsidP="005E6EC0">
      <w:pPr>
        <w:pStyle w:val="NormalHanging12a"/>
      </w:pPr>
      <w:r w:rsidRPr="00AA0574">
        <w:t>7.</w:t>
      </w:r>
      <w:r w:rsidRPr="00AA0574">
        <w:tab/>
        <w:t xml:space="preserve">pozdravlja stalne izboljšave na področju mehanizma za </w:t>
      </w:r>
      <w:proofErr w:type="spellStart"/>
      <w:r w:rsidRPr="00AA0574">
        <w:t>ogljično</w:t>
      </w:r>
      <w:proofErr w:type="spellEnd"/>
      <w:r w:rsidRPr="00AA0574">
        <w:t xml:space="preserve"> prilagoditev na mejah, vendar se sprašuje, zakaj bi bilo treba s poenostavitvijo uredbe o mehanizmu za </w:t>
      </w:r>
      <w:proofErr w:type="spellStart"/>
      <w:r w:rsidRPr="00AA0574">
        <w:t>ogljično</w:t>
      </w:r>
      <w:proofErr w:type="spellEnd"/>
      <w:r w:rsidRPr="00AA0574">
        <w:t xml:space="preserve"> prilagoditev na mejah povečati potrebe v višini 8 milijonov EUR, ne pa jih zmanjšati zaradi večje učinkovitosti;</w:t>
      </w:r>
    </w:p>
    <w:p w14:paraId="698F672E" w14:textId="2CC90457" w:rsidR="005E6EC0" w:rsidRPr="00AA0574" w:rsidRDefault="005E6EC0" w:rsidP="005E6EC0">
      <w:pPr>
        <w:pStyle w:val="NormalHanging12a"/>
      </w:pPr>
      <w:r w:rsidRPr="00AA0574">
        <w:t>8.</w:t>
      </w:r>
      <w:r w:rsidRPr="00AA0574">
        <w:tab/>
        <w:t xml:space="preserve">meni tudi, da je sporno dodatne potrebe za centralizirani carinski sistem v razdelku 1 in </w:t>
      </w:r>
      <w:r w:rsidR="00D34F3B" w:rsidRPr="00AA0574">
        <w:t>mehaniz</w:t>
      </w:r>
      <w:r w:rsidR="00D34F3B">
        <w:t>e</w:t>
      </w:r>
      <w:r w:rsidR="00D34F3B" w:rsidRPr="00AA0574">
        <w:t xml:space="preserve">m za </w:t>
      </w:r>
      <w:proofErr w:type="spellStart"/>
      <w:r w:rsidR="00D34F3B" w:rsidRPr="00AA0574">
        <w:t>ogljično</w:t>
      </w:r>
      <w:proofErr w:type="spellEnd"/>
      <w:r w:rsidR="00D34F3B" w:rsidRPr="00AA0574">
        <w:t xml:space="preserve"> prilagoditev na mejah</w:t>
      </w:r>
      <w:r w:rsidR="00D34F3B" w:rsidRPr="00AA0574" w:rsidDel="00D34F3B">
        <w:t xml:space="preserve"> </w:t>
      </w:r>
      <w:r w:rsidRPr="00AA0574">
        <w:t>v razdelku 3 nadomeščati s sorazmernim zmanjšanjem dodelitev v okviru instrumenta za opremo za carinske kontrole v razdelku 4; obžaluje, da je Komisija zaradi sedanjega proračunskega stanja med razdelki prerazporedila precejšnja sredstva, in želi spomniti na svoje dolgoletno stališče, da bi bilo treba nove politične prioritete, naloge ali potrebe pospremiti z novimi sredstvi; odločno poudarja, da ponavljajoče se prerazporeditve niso smiseln način financiranja prednostnih nalog Unije, saj škodujejo naložbam in ogrožajo doseganje dogovorjenih ciljev politike;</w:t>
      </w:r>
    </w:p>
    <w:p w14:paraId="3D763DC8" w14:textId="77777777" w:rsidR="005E6EC0" w:rsidRPr="00AA0574" w:rsidRDefault="005E6EC0" w:rsidP="005E6EC0">
      <w:pPr>
        <w:pStyle w:val="NormalHanging12a"/>
      </w:pPr>
      <w:r w:rsidRPr="00AA0574">
        <w:t>9.</w:t>
      </w:r>
      <w:r w:rsidRPr="00AA0574">
        <w:tab/>
        <w:t>poudarja in pozdravlja, da bodo nekatere spremembe kadrovskega načrta organa EU za preprečevanje pranja denarja tej agenciji omogočile, da svoje naloge opravlja pravočasno in učinkovito; želi spomniti, da ima ta ključna institucija osrednjo vlogo pri zaščiti davkoplačevalskega denarja in da jo Evropski parlament močno podpira;</w:t>
      </w:r>
    </w:p>
    <w:p w14:paraId="7C2CF4F9" w14:textId="77777777" w:rsidR="005E6EC0" w:rsidRPr="00AA0574" w:rsidRDefault="005E6EC0" w:rsidP="005E6EC0">
      <w:pPr>
        <w:pStyle w:val="NormalHanging12a"/>
      </w:pPr>
      <w:r w:rsidRPr="00AA0574">
        <w:lastRenderedPageBreak/>
        <w:t>10.</w:t>
      </w:r>
      <w:r w:rsidRPr="00AA0574">
        <w:tab/>
        <w:t xml:space="preserve">pozdravlja napredek Bolgarije pri uvedbi eura in v celoti podpira dodatna sredstva, ki bodo prehod na to valuto pospremila z ustreznimi in ciljno usmerjenimi komunikacijskimi dejavnostmi; se zaveda, da v razdelku 2b ni </w:t>
      </w:r>
      <w:proofErr w:type="spellStart"/>
      <w:r w:rsidRPr="00AA0574">
        <w:t>nedodeljene</w:t>
      </w:r>
      <w:proofErr w:type="spellEnd"/>
      <w:r w:rsidRPr="00AA0574">
        <w:t xml:space="preserve"> razlike do zgornje meje, zato je treba v ta namen uporabiti instrument prilagodljivosti;</w:t>
      </w:r>
    </w:p>
    <w:p w14:paraId="63BEF40F" w14:textId="77777777" w:rsidR="005E6EC0" w:rsidRPr="00AA0574" w:rsidRDefault="005E6EC0" w:rsidP="005E6EC0">
      <w:pPr>
        <w:pStyle w:val="NormalHanging12a"/>
      </w:pPr>
      <w:r w:rsidRPr="00AA0574">
        <w:t>11.</w:t>
      </w:r>
      <w:r w:rsidRPr="00AA0574">
        <w:tab/>
        <w:t>odobri stališče Sveta o predlogu spremembe proračuna št. 2/2025;</w:t>
      </w:r>
    </w:p>
    <w:p w14:paraId="2FA5CA2D" w14:textId="77777777" w:rsidR="005E6EC0" w:rsidRPr="00AA0574" w:rsidRDefault="005E6EC0" w:rsidP="005E6EC0">
      <w:pPr>
        <w:pStyle w:val="NormalHanging12a"/>
      </w:pPr>
      <w:r w:rsidRPr="00AA0574">
        <w:t>12.</w:t>
      </w:r>
      <w:r w:rsidRPr="00AA0574">
        <w:tab/>
        <w:t xml:space="preserve">naroči svoji predsednici, naj razglasi, da je sprememba proračuna št. 2/2025 dokončno sprejeta, in poskrbi za njeno objavo v </w:t>
      </w:r>
      <w:r w:rsidRPr="00AA0574">
        <w:rPr>
          <w:i/>
        </w:rPr>
        <w:t>Uradnem listu Evropske unije</w:t>
      </w:r>
      <w:r w:rsidRPr="00AA0574">
        <w:t>;</w:t>
      </w:r>
    </w:p>
    <w:p w14:paraId="183C2327" w14:textId="582ACBA8" w:rsidR="00E365E1" w:rsidRPr="00AA0574" w:rsidRDefault="005E6EC0" w:rsidP="00D7072C">
      <w:pPr>
        <w:pStyle w:val="NormalHanging12a"/>
      </w:pPr>
      <w:r w:rsidRPr="00AA0574">
        <w:t>13.</w:t>
      </w:r>
      <w:r w:rsidRPr="00AA0574">
        <w:tab/>
        <w:t>naroči svoji predsednici, naj to resolucijo posreduje Svetu</w:t>
      </w:r>
      <w:r w:rsidR="007942E2">
        <w:t xml:space="preserve"> in</w:t>
      </w:r>
      <w:r w:rsidR="007942E2" w:rsidRPr="00AA0574">
        <w:t xml:space="preserve"> </w:t>
      </w:r>
      <w:r w:rsidRPr="00AA0574">
        <w:t>Komisiji, drugim zadevnim institucijam in organom ter nacionalnim parlamentom.</w:t>
      </w:r>
    </w:p>
    <w:sectPr w:rsidR="00E365E1" w:rsidRPr="00AA0574" w:rsidSect="00AA05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0146E" w14:textId="77777777" w:rsidR="0051315C" w:rsidRPr="00AA0574" w:rsidRDefault="0051315C">
      <w:r w:rsidRPr="00AA0574">
        <w:separator/>
      </w:r>
    </w:p>
  </w:endnote>
  <w:endnote w:type="continuationSeparator" w:id="0">
    <w:p w14:paraId="32964991" w14:textId="77777777" w:rsidR="0051315C" w:rsidRPr="00AA0574" w:rsidRDefault="0051315C">
      <w:r w:rsidRPr="00AA05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60542" w14:textId="77777777" w:rsidR="00064002" w:rsidRPr="00AA05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436E" w14:textId="77777777" w:rsidR="00064002" w:rsidRPr="00AA05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CBAE" w14:textId="77777777" w:rsidR="00064002" w:rsidRPr="00AA05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9969D" w14:textId="77777777" w:rsidR="0051315C" w:rsidRPr="00AA0574" w:rsidRDefault="0051315C">
      <w:r w:rsidRPr="00AA0574">
        <w:separator/>
      </w:r>
    </w:p>
  </w:footnote>
  <w:footnote w:type="continuationSeparator" w:id="0">
    <w:p w14:paraId="66AF6136" w14:textId="77777777" w:rsidR="0051315C" w:rsidRPr="00AA0574" w:rsidRDefault="0051315C">
      <w:r w:rsidRPr="00AA0574">
        <w:continuationSeparator/>
      </w:r>
    </w:p>
  </w:footnote>
  <w:footnote w:id="1">
    <w:p w14:paraId="738FA0EB" w14:textId="073AA6D6" w:rsidR="005E6EC0" w:rsidRPr="00AA0574" w:rsidRDefault="005E6EC0" w:rsidP="00AA0574">
      <w:pPr>
        <w:pStyle w:val="FootnoteText"/>
        <w:ind w:left="567" w:hanging="567"/>
        <w:rPr>
          <w:sz w:val="24"/>
          <w:lang w:val="sl-SI"/>
        </w:rPr>
      </w:pPr>
      <w:r w:rsidRPr="00AA0574">
        <w:rPr>
          <w:rStyle w:val="FootnoteReference"/>
          <w:sz w:val="24"/>
          <w:lang w:val="sl-SI"/>
        </w:rPr>
        <w:footnoteRef/>
      </w:r>
      <w:r w:rsidR="00AA0574" w:rsidRPr="00AA0574">
        <w:rPr>
          <w:sz w:val="24"/>
          <w:lang w:val="sl-SI"/>
        </w:rPr>
        <w:t xml:space="preserve"> </w:t>
      </w:r>
      <w:r w:rsidR="00AA0574" w:rsidRPr="00AA0574">
        <w:rPr>
          <w:sz w:val="24"/>
          <w:lang w:val="sl-SI"/>
        </w:rPr>
        <w:tab/>
      </w:r>
      <w:r w:rsidRPr="00AA0574">
        <w:rPr>
          <w:sz w:val="24"/>
          <w:lang w:val="sl-SI"/>
        </w:rPr>
        <w:t xml:space="preserve">UL L, 2024/2509, 26.9.2024, ELI: </w:t>
      </w:r>
      <w:hyperlink r:id="rId1" w:history="1">
        <w:r w:rsidRPr="00AA0574">
          <w:rPr>
            <w:rStyle w:val="Hyperlink"/>
            <w:sz w:val="24"/>
            <w:lang w:val="sl-SI"/>
          </w:rPr>
          <w:t>http://data.europa.eu/eli/reg/2024/2509/oj</w:t>
        </w:r>
      </w:hyperlink>
      <w:r w:rsidRPr="00AA0574">
        <w:rPr>
          <w:sz w:val="24"/>
          <w:lang w:val="sl-SI"/>
        </w:rPr>
        <w:t>.</w:t>
      </w:r>
    </w:p>
  </w:footnote>
  <w:footnote w:id="2">
    <w:p w14:paraId="681D5194" w14:textId="7519C707" w:rsidR="005E6EC0" w:rsidRPr="00AA0574" w:rsidRDefault="005E6EC0" w:rsidP="00AA0574">
      <w:pPr>
        <w:pStyle w:val="FootnoteText"/>
        <w:ind w:left="567" w:hanging="567"/>
        <w:rPr>
          <w:rStyle w:val="Hyperlink"/>
          <w:sz w:val="24"/>
          <w:lang w:val="sl-SI"/>
        </w:rPr>
      </w:pPr>
      <w:r w:rsidRPr="00AA0574">
        <w:rPr>
          <w:rStyle w:val="FootnoteReference"/>
          <w:sz w:val="24"/>
          <w:lang w:val="sl-SI"/>
        </w:rPr>
        <w:footnoteRef/>
      </w:r>
      <w:r w:rsidR="00AA0574" w:rsidRPr="00AA0574">
        <w:rPr>
          <w:sz w:val="24"/>
          <w:lang w:val="sl-SI"/>
        </w:rPr>
        <w:t xml:space="preserve"> </w:t>
      </w:r>
      <w:r w:rsidR="00AA0574" w:rsidRPr="00AA0574">
        <w:rPr>
          <w:sz w:val="24"/>
          <w:lang w:val="sl-SI"/>
        </w:rPr>
        <w:tab/>
      </w:r>
      <w:r w:rsidRPr="00AA0574">
        <w:rPr>
          <w:sz w:val="24"/>
          <w:lang w:val="sl-SI"/>
        </w:rPr>
        <w:t xml:space="preserve">UL L, 2025/31, 27.2.2025, ELI: </w:t>
      </w:r>
      <w:hyperlink r:id="rId2" w:history="1">
        <w:r w:rsidRPr="00AA0574">
          <w:rPr>
            <w:rStyle w:val="Hyperlink"/>
            <w:sz w:val="24"/>
            <w:lang w:val="sl-SI"/>
          </w:rPr>
          <w:t>http://data.europa.eu/eli/budget/2025/31/oj</w:t>
        </w:r>
      </w:hyperlink>
      <w:r w:rsidRPr="00AA0574">
        <w:rPr>
          <w:rStyle w:val="Hyperlink"/>
          <w:sz w:val="24"/>
          <w:lang w:val="sl-SI"/>
        </w:rPr>
        <w:t>.</w:t>
      </w:r>
    </w:p>
  </w:footnote>
  <w:footnote w:id="3">
    <w:p w14:paraId="47CF7E7F" w14:textId="75A19E3C" w:rsidR="005E6EC0" w:rsidRPr="00AA0574" w:rsidRDefault="005E6EC0" w:rsidP="00AA0574">
      <w:pPr>
        <w:pStyle w:val="FootnoteText"/>
        <w:ind w:left="567" w:hanging="567"/>
        <w:rPr>
          <w:rStyle w:val="Hyperlink"/>
          <w:sz w:val="24"/>
          <w:lang w:val="sl-SI"/>
        </w:rPr>
      </w:pPr>
      <w:r w:rsidRPr="00AA0574">
        <w:rPr>
          <w:rStyle w:val="FootnoteReference"/>
          <w:sz w:val="24"/>
          <w:lang w:val="sl-SI"/>
        </w:rPr>
        <w:footnoteRef/>
      </w:r>
      <w:r w:rsidR="00AA0574" w:rsidRPr="00AA0574">
        <w:rPr>
          <w:sz w:val="24"/>
          <w:lang w:val="sl-SI"/>
        </w:rPr>
        <w:t xml:space="preserve"> </w:t>
      </w:r>
      <w:r w:rsidR="00AA0574" w:rsidRPr="00AA0574">
        <w:rPr>
          <w:sz w:val="24"/>
          <w:lang w:val="sl-SI"/>
        </w:rPr>
        <w:tab/>
      </w:r>
      <w:r w:rsidRPr="00AA0574">
        <w:rPr>
          <w:sz w:val="24"/>
          <w:lang w:val="sl-SI"/>
        </w:rPr>
        <w:t xml:space="preserve">UL L 433 I, 22.12.2020, str. 11, ELI: </w:t>
      </w:r>
      <w:r w:rsidR="00E73F87">
        <w:fldChar w:fldCharType="begin"/>
      </w:r>
      <w:r w:rsidR="00E73F87" w:rsidRPr="00E73F87">
        <w:rPr>
          <w:lang w:val="pl-PL"/>
        </w:rPr>
        <w:instrText>HYPERLINK "http://data.europa.eu/eli/reg/2020/433/oj"</w:instrText>
      </w:r>
      <w:r w:rsidR="00E73F87">
        <w:fldChar w:fldCharType="separate"/>
      </w:r>
      <w:r w:rsidRPr="00AA0574">
        <w:rPr>
          <w:rStyle w:val="Hyperlink"/>
          <w:sz w:val="24"/>
          <w:lang w:val="sl-SI"/>
        </w:rPr>
        <w:t>http://data.europa.eu/eli/reg/2020/433/oj</w:t>
      </w:r>
      <w:r w:rsidR="00E73F87">
        <w:rPr>
          <w:rStyle w:val="Hyperlink"/>
          <w:sz w:val="24"/>
          <w:lang w:val="sl-SI"/>
        </w:rPr>
        <w:fldChar w:fldCharType="end"/>
      </w:r>
      <w:r w:rsidRPr="00AA0574">
        <w:rPr>
          <w:rStyle w:val="Hyperlink"/>
          <w:sz w:val="24"/>
          <w:lang w:val="sl-SI"/>
        </w:rPr>
        <w:t>.</w:t>
      </w:r>
    </w:p>
  </w:footnote>
  <w:footnote w:id="4">
    <w:p w14:paraId="7E349EE8" w14:textId="467F97C8" w:rsidR="005E6EC0" w:rsidRPr="00AA0574" w:rsidRDefault="005E6EC0" w:rsidP="00AA0574">
      <w:pPr>
        <w:pStyle w:val="FootnoteText"/>
        <w:ind w:left="567" w:hanging="567"/>
        <w:rPr>
          <w:sz w:val="24"/>
          <w:lang w:val="sl-SI"/>
        </w:rPr>
      </w:pPr>
      <w:r w:rsidRPr="00AA0574">
        <w:rPr>
          <w:rStyle w:val="FootnoteReference"/>
          <w:sz w:val="24"/>
          <w:lang w:val="sl-SI"/>
        </w:rPr>
        <w:footnoteRef/>
      </w:r>
      <w:r w:rsidR="00AA0574" w:rsidRPr="00AA0574">
        <w:rPr>
          <w:sz w:val="24"/>
          <w:lang w:val="sl-SI"/>
        </w:rPr>
        <w:t xml:space="preserve"> </w:t>
      </w:r>
      <w:r w:rsidR="00AA0574" w:rsidRPr="00AA0574">
        <w:rPr>
          <w:sz w:val="24"/>
          <w:lang w:val="sl-SI"/>
        </w:rPr>
        <w:tab/>
      </w:r>
      <w:r w:rsidRPr="00AA0574">
        <w:rPr>
          <w:sz w:val="24"/>
          <w:lang w:val="sl-SI"/>
        </w:rPr>
        <w:t xml:space="preserve">UL L 433 I, 22.12.2020, str. 28, ELI: </w:t>
      </w:r>
      <w:r w:rsidR="00E73F87">
        <w:fldChar w:fldCharType="begin"/>
      </w:r>
      <w:r w:rsidR="00E73F87" w:rsidRPr="00E73F87">
        <w:rPr>
          <w:lang w:val="pl-PL"/>
        </w:rPr>
        <w:instrText>HYPERLINK "http://data.europa.eu/eli/agree_interinstit/2020/1222/oj"</w:instrText>
      </w:r>
      <w:r w:rsidR="00E73F87">
        <w:fldChar w:fldCharType="separate"/>
      </w:r>
      <w:r w:rsidRPr="00AA0574">
        <w:rPr>
          <w:rStyle w:val="Hyperlink"/>
          <w:sz w:val="24"/>
          <w:lang w:val="sl-SI"/>
        </w:rPr>
        <w:t>http://data.europa.eu/eli/agree_interinstit/2020/1222/oj</w:t>
      </w:r>
      <w:r w:rsidR="00E73F87">
        <w:rPr>
          <w:rStyle w:val="Hyperlink"/>
          <w:sz w:val="24"/>
          <w:lang w:val="sl-SI"/>
        </w:rPr>
        <w:fldChar w:fldCharType="end"/>
      </w:r>
      <w:r w:rsidRPr="00AA0574">
        <w:rPr>
          <w:rStyle w:val="Hyperlink"/>
          <w:sz w:val="24"/>
          <w:lang w:val="sl-SI"/>
        </w:rPr>
        <w:t>.</w:t>
      </w:r>
    </w:p>
  </w:footnote>
  <w:footnote w:id="5">
    <w:p w14:paraId="43C12324" w14:textId="08076F65" w:rsidR="005E6EC0" w:rsidRPr="00AA0574" w:rsidRDefault="005E6EC0" w:rsidP="00AA0574">
      <w:pPr>
        <w:pStyle w:val="FootnoteText"/>
        <w:ind w:left="567" w:hanging="567"/>
        <w:rPr>
          <w:sz w:val="24"/>
          <w:lang w:val="sl-SI"/>
        </w:rPr>
      </w:pPr>
      <w:r w:rsidRPr="00AA0574">
        <w:rPr>
          <w:rStyle w:val="FootnoteReference"/>
          <w:sz w:val="24"/>
          <w:lang w:val="sl-SI"/>
        </w:rPr>
        <w:footnoteRef/>
      </w:r>
      <w:r w:rsidR="00AA0574" w:rsidRPr="00AA0574">
        <w:rPr>
          <w:sz w:val="24"/>
          <w:lang w:val="sl-SI"/>
        </w:rPr>
        <w:t xml:space="preserve"> </w:t>
      </w:r>
      <w:r w:rsidR="00AA0574" w:rsidRPr="00AA0574">
        <w:rPr>
          <w:sz w:val="24"/>
          <w:lang w:val="sl-SI"/>
        </w:rPr>
        <w:tab/>
      </w:r>
      <w:r w:rsidRPr="00AA0574">
        <w:rPr>
          <w:sz w:val="24"/>
          <w:lang w:val="sl-SI"/>
        </w:rPr>
        <w:t xml:space="preserve">UL L 424, 15.12.2020, str. 1, ELI: </w:t>
      </w:r>
      <w:r w:rsidR="00E73F87">
        <w:fldChar w:fldCharType="begin"/>
      </w:r>
      <w:r w:rsidR="00E73F87" w:rsidRPr="00E73F87">
        <w:rPr>
          <w:lang w:val="pl-PL"/>
        </w:rPr>
        <w:instrText>HYPERLINK "http://data.europa.eu/eli/dec/2020/2053/oj"</w:instrText>
      </w:r>
      <w:r w:rsidR="00E73F87">
        <w:fldChar w:fldCharType="separate"/>
      </w:r>
      <w:r w:rsidRPr="00AA0574">
        <w:rPr>
          <w:rStyle w:val="Hyperlink"/>
          <w:sz w:val="24"/>
          <w:lang w:val="sl-SI"/>
        </w:rPr>
        <w:t>http://data.europa.eu/eli/dec/2020/2053/oj</w:t>
      </w:r>
      <w:r w:rsidR="00E73F87">
        <w:rPr>
          <w:rStyle w:val="Hyperlink"/>
          <w:sz w:val="24"/>
          <w:lang w:val="sl-SI"/>
        </w:rPr>
        <w:fldChar w:fldCharType="end"/>
      </w:r>
      <w:r w:rsidRPr="00AA0574">
        <w:rPr>
          <w:rStyle w:val="Hyperlink"/>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61D7" w14:textId="77777777" w:rsidR="00064002" w:rsidRPr="00AA05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CAE2" w14:textId="77777777" w:rsidR="00064002" w:rsidRPr="00AA05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27E45" w14:textId="77777777" w:rsidR="00064002" w:rsidRPr="00AA05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9269631">
    <w:abstractNumId w:val="9"/>
  </w:num>
  <w:num w:numId="2" w16cid:durableId="756946538">
    <w:abstractNumId w:val="9"/>
  </w:num>
  <w:num w:numId="3" w16cid:durableId="187567286">
    <w:abstractNumId w:val="7"/>
  </w:num>
  <w:num w:numId="4" w16cid:durableId="485127532">
    <w:abstractNumId w:val="7"/>
  </w:num>
  <w:num w:numId="5" w16cid:durableId="87653327">
    <w:abstractNumId w:val="6"/>
  </w:num>
  <w:num w:numId="6" w16cid:durableId="1326320080">
    <w:abstractNumId w:val="6"/>
  </w:num>
  <w:num w:numId="7" w16cid:durableId="1402564177">
    <w:abstractNumId w:val="5"/>
  </w:num>
  <w:num w:numId="8" w16cid:durableId="1421104176">
    <w:abstractNumId w:val="5"/>
  </w:num>
  <w:num w:numId="9" w16cid:durableId="1845629844">
    <w:abstractNumId w:val="4"/>
  </w:num>
  <w:num w:numId="10" w16cid:durableId="546987905">
    <w:abstractNumId w:val="4"/>
  </w:num>
  <w:num w:numId="11" w16cid:durableId="46422100">
    <w:abstractNumId w:val="8"/>
  </w:num>
  <w:num w:numId="12" w16cid:durableId="714892700">
    <w:abstractNumId w:val="8"/>
  </w:num>
  <w:num w:numId="13" w16cid:durableId="735663773">
    <w:abstractNumId w:val="3"/>
  </w:num>
  <w:num w:numId="14" w16cid:durableId="1671133096">
    <w:abstractNumId w:val="3"/>
  </w:num>
  <w:num w:numId="15" w16cid:durableId="1395078029">
    <w:abstractNumId w:val="2"/>
  </w:num>
  <w:num w:numId="16" w16cid:durableId="330989132">
    <w:abstractNumId w:val="2"/>
  </w:num>
  <w:num w:numId="17" w16cid:durableId="2136212367">
    <w:abstractNumId w:val="1"/>
  </w:num>
  <w:num w:numId="18" w16cid:durableId="669214073">
    <w:abstractNumId w:val="1"/>
  </w:num>
  <w:num w:numId="19" w16cid:durableId="1200556687">
    <w:abstractNumId w:val="0"/>
  </w:num>
  <w:num w:numId="20" w16cid:durableId="1372147044">
    <w:abstractNumId w:val="0"/>
  </w:num>
  <w:num w:numId="21" w16cid:durableId="1323315932">
    <w:abstractNumId w:val="9"/>
  </w:num>
  <w:num w:numId="22" w16cid:durableId="532033319">
    <w:abstractNumId w:val="7"/>
  </w:num>
  <w:num w:numId="23" w16cid:durableId="955134120">
    <w:abstractNumId w:val="6"/>
  </w:num>
  <w:num w:numId="24" w16cid:durableId="841703341">
    <w:abstractNumId w:val="5"/>
  </w:num>
  <w:num w:numId="25" w16cid:durableId="1683357774">
    <w:abstractNumId w:val="4"/>
  </w:num>
  <w:num w:numId="26" w16cid:durableId="221601825">
    <w:abstractNumId w:val="8"/>
  </w:num>
  <w:num w:numId="27" w16cid:durableId="1134713332">
    <w:abstractNumId w:val="3"/>
  </w:num>
  <w:num w:numId="28" w16cid:durableId="591164962">
    <w:abstractNumId w:val="2"/>
  </w:num>
  <w:num w:numId="29" w16cid:durableId="1454009802">
    <w:abstractNumId w:val="1"/>
  </w:num>
  <w:num w:numId="30" w16cid:durableId="2119793824">
    <w:abstractNumId w:val="0"/>
  </w:num>
  <w:num w:numId="31" w16cid:durableId="480191661">
    <w:abstractNumId w:val="9"/>
  </w:num>
  <w:num w:numId="32" w16cid:durableId="145171111">
    <w:abstractNumId w:val="7"/>
  </w:num>
  <w:num w:numId="33" w16cid:durableId="1487624362">
    <w:abstractNumId w:val="6"/>
  </w:num>
  <w:num w:numId="34" w16cid:durableId="1722092249">
    <w:abstractNumId w:val="5"/>
  </w:num>
  <w:num w:numId="35" w16cid:durableId="1210141380">
    <w:abstractNumId w:val="4"/>
  </w:num>
  <w:num w:numId="36" w16cid:durableId="265309207">
    <w:abstractNumId w:val="8"/>
  </w:num>
  <w:num w:numId="37" w16cid:durableId="1208952395">
    <w:abstractNumId w:val="3"/>
  </w:num>
  <w:num w:numId="38" w16cid:durableId="1822386279">
    <w:abstractNumId w:val="2"/>
  </w:num>
  <w:num w:numId="39" w16cid:durableId="1345520579">
    <w:abstractNumId w:val="1"/>
  </w:num>
  <w:num w:numId="40" w16cid:durableId="509834774">
    <w:abstractNumId w:val="0"/>
  </w:num>
  <w:num w:numId="41" w16cid:durableId="2099712930">
    <w:abstractNumId w:val="10"/>
  </w:num>
  <w:num w:numId="42" w16cid:durableId="1431506526">
    <w:abstractNumId w:val="10"/>
  </w:num>
  <w:num w:numId="43" w16cid:durableId="1370489386">
    <w:abstractNumId w:val="10"/>
  </w:num>
  <w:num w:numId="44" w16cid:durableId="4466997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SL"/>
    <w:docVar w:name="dvnumam" w:val="0"/>
    <w:docVar w:name="dvpe" w:val="776.838"/>
    <w:docVar w:name="dvrapporteur" w:val="Poročevalec: "/>
    <w:docVar w:name="dvtitre" w:val="Zakonodajna resolucija Evropskega parlamenta z dne … 2025 o stališču Sveta o predlogu spremembe proračuna št. 2/2025 k splošnemu proračunu za leto 2025 – posodobitev prihodkov (iz naslova lastnih sredstev) in prilagoditve odhodkov(12353/2025 – C10-0209/2025 – 2025/0206(BUD))"/>
  </w:docVars>
  <w:rsids>
    <w:rsidRoot w:val="0051315C"/>
    <w:rsid w:val="00002272"/>
    <w:rsid w:val="00064002"/>
    <w:rsid w:val="000677B9"/>
    <w:rsid w:val="000831BA"/>
    <w:rsid w:val="000A42CC"/>
    <w:rsid w:val="000E7DD9"/>
    <w:rsid w:val="0010095E"/>
    <w:rsid w:val="00125B37"/>
    <w:rsid w:val="00132E98"/>
    <w:rsid w:val="00151C19"/>
    <w:rsid w:val="00187494"/>
    <w:rsid w:val="001F32AE"/>
    <w:rsid w:val="002767FF"/>
    <w:rsid w:val="002B18FE"/>
    <w:rsid w:val="002B5493"/>
    <w:rsid w:val="00343214"/>
    <w:rsid w:val="00361C00"/>
    <w:rsid w:val="003840DC"/>
    <w:rsid w:val="00395FA1"/>
    <w:rsid w:val="003A593E"/>
    <w:rsid w:val="003E15D4"/>
    <w:rsid w:val="00411CCE"/>
    <w:rsid w:val="0041666E"/>
    <w:rsid w:val="00421060"/>
    <w:rsid w:val="00471C19"/>
    <w:rsid w:val="004867E3"/>
    <w:rsid w:val="00494A28"/>
    <w:rsid w:val="004B2209"/>
    <w:rsid w:val="004C0004"/>
    <w:rsid w:val="004C5D52"/>
    <w:rsid w:val="0050519A"/>
    <w:rsid w:val="005072A1"/>
    <w:rsid w:val="0051315C"/>
    <w:rsid w:val="00514517"/>
    <w:rsid w:val="00545827"/>
    <w:rsid w:val="00560270"/>
    <w:rsid w:val="005C2568"/>
    <w:rsid w:val="005E6EC0"/>
    <w:rsid w:val="005F1B17"/>
    <w:rsid w:val="006037C0"/>
    <w:rsid w:val="00627C85"/>
    <w:rsid w:val="006631B6"/>
    <w:rsid w:val="00680577"/>
    <w:rsid w:val="006F74FA"/>
    <w:rsid w:val="00731ADD"/>
    <w:rsid w:val="00734777"/>
    <w:rsid w:val="00747932"/>
    <w:rsid w:val="00751A4A"/>
    <w:rsid w:val="00755AC6"/>
    <w:rsid w:val="00756632"/>
    <w:rsid w:val="00762C74"/>
    <w:rsid w:val="00786EC0"/>
    <w:rsid w:val="007942E2"/>
    <w:rsid w:val="007D1690"/>
    <w:rsid w:val="007E22AD"/>
    <w:rsid w:val="008058FB"/>
    <w:rsid w:val="00817416"/>
    <w:rsid w:val="00842779"/>
    <w:rsid w:val="00865F67"/>
    <w:rsid w:val="00881A7B"/>
    <w:rsid w:val="008840E5"/>
    <w:rsid w:val="00887B3E"/>
    <w:rsid w:val="008C2AC6"/>
    <w:rsid w:val="008F6DDC"/>
    <w:rsid w:val="00930C23"/>
    <w:rsid w:val="0093193B"/>
    <w:rsid w:val="009509D8"/>
    <w:rsid w:val="00950B64"/>
    <w:rsid w:val="0095380E"/>
    <w:rsid w:val="00981893"/>
    <w:rsid w:val="00A1687D"/>
    <w:rsid w:val="00A43E52"/>
    <w:rsid w:val="00A4678D"/>
    <w:rsid w:val="00A778C7"/>
    <w:rsid w:val="00AA0574"/>
    <w:rsid w:val="00AB441E"/>
    <w:rsid w:val="00AB6293"/>
    <w:rsid w:val="00AE0928"/>
    <w:rsid w:val="00AF3B82"/>
    <w:rsid w:val="00B12E95"/>
    <w:rsid w:val="00B16779"/>
    <w:rsid w:val="00B22876"/>
    <w:rsid w:val="00B558F0"/>
    <w:rsid w:val="00BD48FE"/>
    <w:rsid w:val="00BD7BD8"/>
    <w:rsid w:val="00BE6ADC"/>
    <w:rsid w:val="00C05BFE"/>
    <w:rsid w:val="00C07E64"/>
    <w:rsid w:val="00C23CD4"/>
    <w:rsid w:val="00C61C0C"/>
    <w:rsid w:val="00C941CB"/>
    <w:rsid w:val="00CB6FDD"/>
    <w:rsid w:val="00CC2357"/>
    <w:rsid w:val="00CF071A"/>
    <w:rsid w:val="00D058B8"/>
    <w:rsid w:val="00D34F3B"/>
    <w:rsid w:val="00D56C11"/>
    <w:rsid w:val="00D7072C"/>
    <w:rsid w:val="00D834A0"/>
    <w:rsid w:val="00D872DF"/>
    <w:rsid w:val="00D91E21"/>
    <w:rsid w:val="00DA7FCD"/>
    <w:rsid w:val="00E15015"/>
    <w:rsid w:val="00E365E1"/>
    <w:rsid w:val="00E73F87"/>
    <w:rsid w:val="00E820A4"/>
    <w:rsid w:val="00EB006A"/>
    <w:rsid w:val="00EB4772"/>
    <w:rsid w:val="00ED169E"/>
    <w:rsid w:val="00ED4235"/>
    <w:rsid w:val="00F04346"/>
    <w:rsid w:val="00F075DC"/>
    <w:rsid w:val="00F149E9"/>
    <w:rsid w:val="00F5134D"/>
    <w:rsid w:val="00F74202"/>
    <w:rsid w:val="00F87713"/>
    <w:rsid w:val="00FA22EB"/>
    <w:rsid w:val="00FB4360"/>
    <w:rsid w:val="00FD0C70"/>
    <w:rsid w:val="00FE51B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21801"/>
  <w15:chartTrackingRefBased/>
  <w15:docId w15:val="{87AD8348-C751-4D68-8BA4-7F00FD689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6EC0"/>
    <w:pPr>
      <w:spacing w:before="480" w:after="240"/>
    </w:pPr>
  </w:style>
  <w:style w:type="paragraph" w:customStyle="1" w:styleId="NormalHanging12a">
    <w:name w:val="NormalHanging12a"/>
    <w:basedOn w:val="Normal"/>
    <w:link w:val="NormalHanging12aChar"/>
    <w:rsid w:val="005E6EC0"/>
    <w:pPr>
      <w:spacing w:after="240"/>
      <w:ind w:left="567" w:hanging="567"/>
    </w:pPr>
  </w:style>
  <w:style w:type="character" w:styleId="Hyperlink">
    <w:name w:val="Hyperlink"/>
    <w:basedOn w:val="DefaultParagraphFont"/>
    <w:uiPriority w:val="99"/>
    <w:rsid w:val="005E6EC0"/>
    <w:rPr>
      <w:color w:val="0563C1" w:themeColor="hyperlink"/>
      <w:u w:val="single"/>
    </w:rPr>
  </w:style>
  <w:style w:type="character" w:customStyle="1" w:styleId="NormalHanging12aChar">
    <w:name w:val="NormalHanging12a Char"/>
    <w:basedOn w:val="DefaultParagraphFont"/>
    <w:link w:val="NormalHanging12a"/>
    <w:locked/>
    <w:rsid w:val="005E6EC0"/>
    <w:rPr>
      <w:sz w:val="24"/>
      <w:lang w:val="sl-SI"/>
    </w:rPr>
  </w:style>
  <w:style w:type="paragraph" w:styleId="Revision">
    <w:name w:val="Revision"/>
    <w:hidden/>
    <w:uiPriority w:val="99"/>
    <w:semiHidden/>
    <w:rsid w:val="004B2209"/>
    <w:rPr>
      <w:sz w:val="24"/>
      <w:lang w:val="sl-SI"/>
    </w:rPr>
  </w:style>
  <w:style w:type="character" w:styleId="CommentReference">
    <w:name w:val="annotation reference"/>
    <w:basedOn w:val="DefaultParagraphFont"/>
    <w:rsid w:val="007942E2"/>
    <w:rPr>
      <w:sz w:val="16"/>
      <w:szCs w:val="16"/>
    </w:rPr>
  </w:style>
  <w:style w:type="paragraph" w:styleId="CommentText">
    <w:name w:val="annotation text"/>
    <w:basedOn w:val="Normal"/>
    <w:link w:val="CommentTextChar"/>
    <w:rsid w:val="007942E2"/>
    <w:rPr>
      <w:sz w:val="20"/>
    </w:rPr>
  </w:style>
  <w:style w:type="character" w:customStyle="1" w:styleId="CommentTextChar">
    <w:name w:val="Comment Text Char"/>
    <w:basedOn w:val="DefaultParagraphFont"/>
    <w:link w:val="CommentText"/>
    <w:rsid w:val="007942E2"/>
    <w:rPr>
      <w:lang w:val="sl-SI"/>
    </w:rPr>
  </w:style>
  <w:style w:type="paragraph" w:styleId="CommentSubject">
    <w:name w:val="annotation subject"/>
    <w:basedOn w:val="CommentText"/>
    <w:next w:val="CommentText"/>
    <w:link w:val="CommentSubjectChar"/>
    <w:rsid w:val="007942E2"/>
    <w:rPr>
      <w:b/>
      <w:bCs/>
    </w:rPr>
  </w:style>
  <w:style w:type="character" w:customStyle="1" w:styleId="CommentSubjectChar">
    <w:name w:val="Comment Subject Char"/>
    <w:basedOn w:val="CommentTextChar"/>
    <w:link w:val="CommentSubject"/>
    <w:rsid w:val="007942E2"/>
    <w:rPr>
      <w:b/>
      <w:bCs/>
      <w:lang w:val="sl-SI"/>
    </w:rPr>
  </w:style>
  <w:style w:type="character" w:styleId="UnresolvedMention">
    <w:name w:val="Unresolved Mention"/>
    <w:basedOn w:val="DefaultParagraphFont"/>
    <w:uiPriority w:val="99"/>
    <w:semiHidden/>
    <w:unhideWhenUsed/>
    <w:rsid w:val="008F6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2025-10-08T11:24:00Z</dcterms:created>
  <dcterms:modified xsi:type="dcterms:W3CDTF">2025-10-08T11:24:00Z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P10_TA(2025)0218_</vt:lpwstr>
  </property>
  <property fmtid="{D5CDD505-2E9C-101B-9397-08002B2CF9AE}" pid="4" name="&lt;Type&gt;">
    <vt:lpwstr>RR</vt:lpwstr>
  </property>
</Properties>
</file>