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76C7" w14:paraId="3B40A2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5991B4" w14:textId="77777777" w:rsidR="00751A4A" w:rsidRPr="00F876C7" w:rsidRDefault="00D83CE7" w:rsidP="0010095E">
            <w:pPr>
              <w:pStyle w:val="EPName"/>
            </w:pPr>
            <w:r w:rsidRPr="00F876C7">
              <w:t>Evropský parlament</w:t>
            </w:r>
          </w:p>
          <w:p w14:paraId="2437882D" w14:textId="77777777" w:rsidR="00751A4A" w:rsidRPr="00F876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76C7">
              <w:t>2024</w:t>
            </w:r>
            <w:r w:rsidR="00817416" w:rsidRPr="00F876C7">
              <w:t>-202</w:t>
            </w:r>
            <w:r w:rsidRPr="00F876C7">
              <w:t>9</w:t>
            </w:r>
          </w:p>
        </w:tc>
        <w:tc>
          <w:tcPr>
            <w:tcW w:w="2268" w:type="dxa"/>
            <w:shd w:val="clear" w:color="auto" w:fill="auto"/>
          </w:tcPr>
          <w:p w14:paraId="016FDB67" w14:textId="77777777" w:rsidR="00751A4A" w:rsidRPr="00F876C7" w:rsidRDefault="00187494" w:rsidP="0010095E">
            <w:pPr>
              <w:pStyle w:val="EPLogo"/>
            </w:pPr>
            <w:r w:rsidRPr="00F876C7">
              <w:rPr>
                <w:noProof/>
                <w:lang w:eastAsia="ja-JP"/>
              </w:rPr>
              <w:drawing>
                <wp:inline distT="0" distB="0" distL="0" distR="0" wp14:anchorId="36BADD87" wp14:editId="39D152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B0A3F" w14:textId="77777777" w:rsidR="00D058B8" w:rsidRPr="00F876C7" w:rsidRDefault="00D058B8" w:rsidP="004C5D52">
      <w:pPr>
        <w:pStyle w:val="LineTop"/>
      </w:pPr>
    </w:p>
    <w:p w14:paraId="71B4F471" w14:textId="77777777" w:rsidR="00680577" w:rsidRPr="00F876C7" w:rsidRDefault="00D83CE7" w:rsidP="00680577">
      <w:pPr>
        <w:pStyle w:val="EPBodyTA1"/>
      </w:pPr>
      <w:r w:rsidRPr="00F876C7">
        <w:t>PŘIJATÉ TEXTY</w:t>
      </w:r>
    </w:p>
    <w:p w14:paraId="46127FEC" w14:textId="77777777" w:rsidR="00D058B8" w:rsidRPr="00F876C7" w:rsidRDefault="00D058B8" w:rsidP="00D058B8">
      <w:pPr>
        <w:pStyle w:val="LineBottom"/>
      </w:pPr>
    </w:p>
    <w:p w14:paraId="4EC257BA" w14:textId="7F33334E" w:rsidR="00D83CE7" w:rsidRPr="00F876C7" w:rsidRDefault="00D83CE7" w:rsidP="00D83CE7">
      <w:pPr>
        <w:pStyle w:val="ATHeading1"/>
      </w:pPr>
      <w:bookmarkStart w:id="0" w:name="TANumber"/>
      <w:r w:rsidRPr="00F876C7">
        <w:t>P10_</w:t>
      </w:r>
      <w:proofErr w:type="gramStart"/>
      <w:r w:rsidRPr="00F876C7">
        <w:t>TA(</w:t>
      </w:r>
      <w:proofErr w:type="gramEnd"/>
      <w:r w:rsidRPr="00F876C7">
        <w:t>2025)0</w:t>
      </w:r>
      <w:r w:rsidR="003E523B">
        <w:t>219</w:t>
      </w:r>
      <w:bookmarkEnd w:id="0"/>
    </w:p>
    <w:p w14:paraId="10AC4FFE" w14:textId="57FCA432" w:rsidR="00D83CE7" w:rsidRPr="00F876C7" w:rsidRDefault="00D83CE7" w:rsidP="00D83CE7">
      <w:pPr>
        <w:pStyle w:val="ATHeading2"/>
      </w:pPr>
      <w:bookmarkStart w:id="1" w:name="title"/>
      <w:r w:rsidRPr="00F876C7">
        <w:t>Uvolnění prostředků z Evropského fondu pro přizpůsobení se globalizaci</w:t>
      </w:r>
      <w:r w:rsidR="00415C20">
        <w:t xml:space="preserve"> </w:t>
      </w:r>
      <w:r w:rsidR="00415C20" w:rsidRPr="00F876C7">
        <w:t>na pomoc propuštěným pracovníkům na základě žádosti Německ</w:t>
      </w:r>
      <w:r w:rsidR="00415C20">
        <w:t>a –</w:t>
      </w:r>
      <w:r w:rsidRPr="00F876C7">
        <w:t xml:space="preserve"> EGF/2025/002 DE/</w:t>
      </w:r>
      <w:proofErr w:type="spellStart"/>
      <w:r w:rsidRPr="00F876C7">
        <w:t>Goodyear</w:t>
      </w:r>
      <w:proofErr w:type="spellEnd"/>
      <w:r w:rsidRPr="00F876C7">
        <w:t xml:space="preserve"> 2</w:t>
      </w:r>
      <w:bookmarkEnd w:id="1"/>
    </w:p>
    <w:p w14:paraId="3D857972" w14:textId="77777777" w:rsidR="00D83CE7" w:rsidRPr="00F876C7" w:rsidRDefault="00D83CE7" w:rsidP="00D83CE7">
      <w:pPr>
        <w:rPr>
          <w:i/>
          <w:vanish/>
        </w:rPr>
      </w:pPr>
      <w:r w:rsidRPr="00F876C7">
        <w:rPr>
          <w:i/>
        </w:rPr>
        <w:fldChar w:fldCharType="begin"/>
      </w:r>
      <w:r w:rsidRPr="00F876C7">
        <w:rPr>
          <w:i/>
        </w:rPr>
        <w:instrText xml:space="preserve"> TC"(</w:instrText>
      </w:r>
      <w:bookmarkStart w:id="2" w:name="DocNumber"/>
      <w:r w:rsidRPr="00F876C7">
        <w:rPr>
          <w:i/>
        </w:rPr>
        <w:instrText>A10-0168/2025</w:instrText>
      </w:r>
      <w:bookmarkEnd w:id="2"/>
      <w:r w:rsidRPr="00F876C7">
        <w:rPr>
          <w:i/>
        </w:rPr>
        <w:instrText xml:space="preserve"> - Zpravodaj: Olivier Chastel)"\l3 \n&gt; \* MERGEFORMAT </w:instrText>
      </w:r>
      <w:r w:rsidRPr="00F876C7">
        <w:rPr>
          <w:i/>
        </w:rPr>
        <w:fldChar w:fldCharType="end"/>
      </w:r>
    </w:p>
    <w:p w14:paraId="4490F0C4" w14:textId="77777777" w:rsidR="00D83CE7" w:rsidRPr="00F876C7" w:rsidRDefault="00D83CE7" w:rsidP="00D83CE7">
      <w:pPr>
        <w:rPr>
          <w:vanish/>
        </w:rPr>
      </w:pPr>
      <w:bookmarkStart w:id="3" w:name="Commission"/>
      <w:r w:rsidRPr="00F876C7">
        <w:rPr>
          <w:vanish/>
        </w:rPr>
        <w:t>Rozpočtový výbor</w:t>
      </w:r>
      <w:bookmarkEnd w:id="3"/>
    </w:p>
    <w:p w14:paraId="07716DB1" w14:textId="77777777" w:rsidR="00D83CE7" w:rsidRPr="00F876C7" w:rsidRDefault="00D83CE7" w:rsidP="00D83CE7">
      <w:pPr>
        <w:rPr>
          <w:vanish/>
        </w:rPr>
      </w:pPr>
      <w:bookmarkStart w:id="4" w:name="PE"/>
      <w:r w:rsidRPr="00F876C7">
        <w:rPr>
          <w:vanish/>
        </w:rPr>
        <w:t>PE776.828</w:t>
      </w:r>
      <w:bookmarkEnd w:id="4"/>
    </w:p>
    <w:p w14:paraId="2589D4A7" w14:textId="2FBB6E24" w:rsidR="00D83CE7" w:rsidRPr="00F876C7" w:rsidRDefault="00D83CE7" w:rsidP="00D83CE7">
      <w:pPr>
        <w:pStyle w:val="ATHeading3"/>
      </w:pPr>
      <w:bookmarkStart w:id="5" w:name="Sujet"/>
      <w:r w:rsidRPr="00F876C7">
        <w:t>Usnesení Evropského parlamentu ze dne 8. října 2025 o návrhu rozhodnutí Evropského parlamentu a Rady o uvolnění prostředků z Evropského fondu pro přizpůsobení se globalizaci na pomoc propuštěným pracovníkům na základě žádosti Německ</w:t>
      </w:r>
      <w:r w:rsidR="00415C20">
        <w:t>a</w:t>
      </w:r>
      <w:r w:rsidRPr="00F876C7">
        <w:t xml:space="preserve"> – EGF/2025/002 DE/</w:t>
      </w:r>
      <w:proofErr w:type="spellStart"/>
      <w:r w:rsidRPr="00F876C7">
        <w:t>Goodyear</w:t>
      </w:r>
      <w:proofErr w:type="spellEnd"/>
      <w:r w:rsidRPr="00F876C7">
        <w:t xml:space="preserve"> 2</w:t>
      </w:r>
      <w:bookmarkEnd w:id="5"/>
      <w:r w:rsidRPr="00F876C7">
        <w:t xml:space="preserve"> </w:t>
      </w:r>
      <w:bookmarkStart w:id="6" w:name="References"/>
      <w:r w:rsidRPr="00F876C7">
        <w:t>(</w:t>
      </w:r>
      <w:proofErr w:type="gramStart"/>
      <w:r w:rsidRPr="00F876C7">
        <w:t>COM(</w:t>
      </w:r>
      <w:proofErr w:type="gramEnd"/>
      <w:r w:rsidRPr="00F876C7">
        <w:t>2025)0302 – C10-0182/2025 – 2025/0245(BUD))</w:t>
      </w:r>
      <w:bookmarkEnd w:id="6"/>
    </w:p>
    <w:p w14:paraId="5E6B1AF9" w14:textId="77777777" w:rsidR="00C9620A" w:rsidRPr="00F876C7" w:rsidRDefault="00C9620A" w:rsidP="00C9620A">
      <w:pPr>
        <w:pStyle w:val="EPComma"/>
        <w:rPr>
          <w:noProof/>
        </w:rPr>
      </w:pPr>
      <w:r w:rsidRPr="00F876C7">
        <w:rPr>
          <w:i/>
        </w:rPr>
        <w:t>Evropský parlament</w:t>
      </w:r>
      <w:r w:rsidRPr="00F876C7">
        <w:t>,</w:t>
      </w:r>
    </w:p>
    <w:p w14:paraId="4DF6A330" w14:textId="77777777" w:rsidR="00C9620A" w:rsidRPr="00F876C7" w:rsidRDefault="00C9620A" w:rsidP="00311F13">
      <w:pPr>
        <w:pStyle w:val="NormalHanging12a"/>
        <w:rPr>
          <w:noProof/>
        </w:rPr>
      </w:pPr>
      <w:r w:rsidRPr="00F876C7">
        <w:t>–</w:t>
      </w:r>
      <w:r w:rsidRPr="00F876C7">
        <w:tab/>
        <w:t>s ohledem na návrh Komise předložený Evropskému parlamentu a Radě (</w:t>
      </w:r>
      <w:proofErr w:type="gramStart"/>
      <w:r w:rsidRPr="00F876C7">
        <w:t>COM(</w:t>
      </w:r>
      <w:proofErr w:type="gramEnd"/>
      <w:r w:rsidRPr="00F876C7">
        <w:t>2025)0302 – C10-0182/2025),</w:t>
      </w:r>
    </w:p>
    <w:p w14:paraId="09DF5563" w14:textId="77777777" w:rsidR="00C9620A" w:rsidRPr="00F876C7" w:rsidRDefault="00C9620A" w:rsidP="00311F13">
      <w:pPr>
        <w:pStyle w:val="NormalHanging12a"/>
        <w:rPr>
          <w:noProof/>
        </w:rPr>
      </w:pPr>
      <w:r w:rsidRPr="00F876C7">
        <w:t>–</w:t>
      </w:r>
      <w:r w:rsidRPr="00F876C7">
        <w:tab/>
        <w:t>s ohledem na nařízení Evropského parlamentu a Rady (EU) 2021/691 ze dne 28. dubna 2021 o Evropském fondu pro přizpůsobení se globalizaci na pomoc propuštěným pracovníkům (EFG) a o zrušení nařízení (EU) č. 1309/2013</w:t>
      </w:r>
      <w:r w:rsidRPr="00F876C7">
        <w:rPr>
          <w:rStyle w:val="FootnoteReference"/>
          <w:noProof/>
        </w:rPr>
        <w:footnoteReference w:id="1"/>
      </w:r>
      <w:r w:rsidRPr="00F876C7">
        <w:t xml:space="preserve"> („nařízení o EFG“),</w:t>
      </w:r>
    </w:p>
    <w:p w14:paraId="57DB6E7C" w14:textId="77777777" w:rsidR="00C9620A" w:rsidRPr="00F876C7" w:rsidRDefault="00C9620A" w:rsidP="00311F13">
      <w:pPr>
        <w:pStyle w:val="NormalHanging12a"/>
        <w:rPr>
          <w:noProof/>
        </w:rPr>
      </w:pPr>
      <w:r w:rsidRPr="00F876C7">
        <w:t>–</w:t>
      </w:r>
      <w:r w:rsidRPr="00F876C7">
        <w:tab/>
        <w:t>s ohledem na nařízení Rady (EU, Euratom) 2020/2093 ze dne 17. prosince 2020, kterým se stanoví víceletý finanční rámec na období 2021–2027</w:t>
      </w:r>
      <w:r w:rsidRPr="00F876C7">
        <w:rPr>
          <w:rStyle w:val="FootnoteReference"/>
          <w:noProof/>
        </w:rPr>
        <w:footnoteReference w:id="2"/>
      </w:r>
      <w:r w:rsidRPr="00F876C7">
        <w:t>, ve znění nařízení (EU, Euratom) 2024/765</w:t>
      </w:r>
      <w:r w:rsidRPr="00F876C7">
        <w:rPr>
          <w:rStyle w:val="FootnoteReference"/>
          <w:bdr w:val="none" w:sz="0" w:space="0" w:color="auto" w:frame="1"/>
        </w:rPr>
        <w:footnoteReference w:id="3"/>
      </w:r>
      <w:r w:rsidRPr="00F876C7">
        <w:t>, a zejména na článek 8 tohoto nařízení,</w:t>
      </w:r>
    </w:p>
    <w:p w14:paraId="182A7BBE" w14:textId="77777777" w:rsidR="00C9620A" w:rsidRPr="00F876C7" w:rsidRDefault="00C9620A" w:rsidP="00311F13">
      <w:pPr>
        <w:pStyle w:val="NormalHanging12a"/>
        <w:rPr>
          <w:noProof/>
        </w:rPr>
      </w:pPr>
      <w:r w:rsidRPr="00F876C7">
        <w:t>–</w:t>
      </w:r>
      <w:r w:rsidRPr="00F876C7">
        <w:tab/>
        <w:t>s ohledem na interinstitucionální dohodu ze dne 16. 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F876C7">
        <w:rPr>
          <w:rStyle w:val="FootnoteReference"/>
          <w:noProof/>
        </w:rPr>
        <w:footnoteReference w:id="4"/>
      </w:r>
      <w:r w:rsidRPr="00F876C7">
        <w:t>, a zejména na bod 9 této dohody,</w:t>
      </w:r>
    </w:p>
    <w:p w14:paraId="30D9E2B2" w14:textId="77777777" w:rsidR="00C9620A" w:rsidRPr="00F876C7" w:rsidRDefault="00C9620A" w:rsidP="00311F13">
      <w:pPr>
        <w:pStyle w:val="NormalHanging12a"/>
        <w:rPr>
          <w:noProof/>
        </w:rPr>
      </w:pPr>
      <w:r w:rsidRPr="00F876C7">
        <w:t>–</w:t>
      </w:r>
      <w:r w:rsidRPr="00F876C7">
        <w:tab/>
        <w:t>s ohledem na stanovisko Výboru pro zaměstnanost a sociální věci,</w:t>
      </w:r>
    </w:p>
    <w:p w14:paraId="31DA82C2" w14:textId="77777777" w:rsidR="00C9620A" w:rsidRPr="00F876C7" w:rsidRDefault="00C9620A" w:rsidP="00311F13">
      <w:pPr>
        <w:pStyle w:val="NormalHanging12a"/>
      </w:pPr>
      <w:r w:rsidRPr="00F876C7">
        <w:t>–</w:t>
      </w:r>
      <w:r w:rsidRPr="00F876C7">
        <w:tab/>
        <w:t>s ohledem na zprávu Rozpočtového výboru (A10</w:t>
      </w:r>
      <w:r w:rsidRPr="00F876C7">
        <w:noBreakHyphen/>
        <w:t xml:space="preserve">0168/2025), </w:t>
      </w:r>
    </w:p>
    <w:p w14:paraId="26D719E1" w14:textId="77777777" w:rsidR="00C9620A" w:rsidRPr="00F876C7" w:rsidRDefault="00C9620A" w:rsidP="00311F13">
      <w:pPr>
        <w:pStyle w:val="NormalHanging12a"/>
        <w:rPr>
          <w:noProof/>
        </w:rPr>
      </w:pPr>
      <w:r w:rsidRPr="00F876C7">
        <w:t>A.</w:t>
      </w:r>
      <w:r w:rsidRPr="00F876C7">
        <w:tab/>
        <w:t xml:space="preserve">vzhledem k tomu, že Unie vytvořila legislativní a rozpočtové nástroje, aby mohla </w:t>
      </w:r>
      <w:r w:rsidRPr="00F876C7">
        <w:lastRenderedPageBreak/>
        <w:t>poskytovat dodatečnou podporu pracovníkům, kteří jsou postiženi důsledky významných změn ve struktuře světového obchodu nebo důsledky celosvětové finanční a hospodářské krize, a pomáhat jim při opětovném začlenění na trh práce; vzhledem k tomu, že tato pomoc je poskytována v podobě finanční podpory pracovníkům a podnikům, pro které pracovali;</w:t>
      </w:r>
    </w:p>
    <w:p w14:paraId="25089891" w14:textId="3292272D" w:rsidR="00C9620A" w:rsidRPr="00F876C7" w:rsidRDefault="00C9620A" w:rsidP="00311F13">
      <w:pPr>
        <w:pStyle w:val="NormalHanging12a"/>
      </w:pPr>
      <w:r w:rsidRPr="00F876C7">
        <w:t>B.</w:t>
      </w:r>
      <w:r w:rsidRPr="00F876C7">
        <w:tab/>
        <w:t>vzhledem k tomu, že Německo podalo žádost EGF/2025/002 DE/</w:t>
      </w:r>
      <w:proofErr w:type="spellStart"/>
      <w:r w:rsidRPr="00F876C7">
        <w:t>Goodyear</w:t>
      </w:r>
      <w:proofErr w:type="spellEnd"/>
      <w:r w:rsidRPr="00F876C7">
        <w:t xml:space="preserve"> 2 o poskytnutí finančního příspěvku z Evropského fondu pro přizpůsobení se globalizaci (EFG) v souvislosti s propuštěním 1 171 pracovníků</w:t>
      </w:r>
      <w:r w:rsidRPr="00F876C7">
        <w:rPr>
          <w:rStyle w:val="FootnoteReference"/>
        </w:rPr>
        <w:footnoteReference w:id="5"/>
      </w:r>
      <w:r w:rsidRPr="00F876C7">
        <w:t xml:space="preserve"> v regionech </w:t>
      </w:r>
      <w:proofErr w:type="spellStart"/>
      <w:r w:rsidRPr="00F876C7">
        <w:t>Kassel</w:t>
      </w:r>
      <w:proofErr w:type="spellEnd"/>
      <w:r w:rsidRPr="00F876C7">
        <w:t xml:space="preserve"> (DE73) a Darmstadt (DE71) v hospodářském odvětví, které je v rámci klasifikace NACE Revize 2 zařazeno do oddílu 22 (Výroba pryžových a plastových výrobků), přičemž 747 pracovníků bylo propuštěno během referenčního období žádosti, které trvalo od 1. září 2024 do 1. ledna 2025, a 424 pracovníků před tímto referenčním obdobím nebo po něm; </w:t>
      </w:r>
    </w:p>
    <w:p w14:paraId="55D1C59F" w14:textId="77777777" w:rsidR="00C9620A" w:rsidRPr="00F876C7" w:rsidRDefault="00C9620A" w:rsidP="00311F13">
      <w:pPr>
        <w:pStyle w:val="NormalHanging12a"/>
      </w:pPr>
      <w:r w:rsidRPr="00F876C7">
        <w:t>C.</w:t>
      </w:r>
      <w:r w:rsidRPr="00F876C7">
        <w:tab/>
        <w:t>vzhledem k tomu, že v případě 424 pracovníků, kteří byli propuštěni před čtyřměsíčním referenčním obdobím nebo po něm, lze prokázat jednoznačnou příčinnou souvislost s událostí, jež vedla k propouštění pracovníků během referenčního období, jak vyžaduje čl. 6 odst. 2 nařízení o EFG;</w:t>
      </w:r>
      <w:r w:rsidRPr="00F876C7">
        <w:rPr>
          <w:sz w:val="23"/>
        </w:rPr>
        <w:t xml:space="preserve"> </w:t>
      </w:r>
    </w:p>
    <w:p w14:paraId="6B974185" w14:textId="2BF5AE82" w:rsidR="00C9620A" w:rsidRPr="00F876C7" w:rsidRDefault="00C9620A" w:rsidP="00311F13">
      <w:pPr>
        <w:pStyle w:val="NormalHanging12a"/>
      </w:pPr>
      <w:r w:rsidRPr="00F876C7">
        <w:t>D.</w:t>
      </w:r>
      <w:r w:rsidRPr="00F876C7">
        <w:tab/>
        <w:t>vzhledem k tomu, že žádost je založena na kritériích pro pomoc stanovených v čl. 4 odst. 2 písm. a) nařízení o EFG, podle kterých se má ukončení činnosti týkat nejméně 200 propuštěných pracovníků nebo osob samostatně výdělečně činných během referenčního období v délce čtyř měsíců v jednom podniku v jednom členském státě, včetně případů, kdy se toto ukončení činnosti týká pracovníků jeho dodavatelů nebo výrobců, kteří jsou jeho odběrateli;</w:t>
      </w:r>
    </w:p>
    <w:p w14:paraId="24B98693" w14:textId="55984C3B" w:rsidR="00C9620A" w:rsidRPr="00F876C7" w:rsidRDefault="00C9620A" w:rsidP="00F90A81">
      <w:pPr>
        <w:pStyle w:val="NormalHanging12a"/>
        <w:rPr>
          <w:noProof/>
          <w:color w:val="7030A0"/>
        </w:rPr>
      </w:pPr>
      <w:r w:rsidRPr="00F876C7">
        <w:t>E.</w:t>
      </w:r>
      <w:r w:rsidRPr="00F876C7">
        <w:tab/>
        <w:t xml:space="preserve">vzhledem k tomu, že v důsledku útočné války Ruska proti Ukrajině a rostoucí inflace vzrostly ceny energií a materiálů a náklady na pracovní sílu, a tak i tlak na marže </w:t>
      </w:r>
      <w:r w:rsidR="00072B7E" w:rsidRPr="00F876C7">
        <w:t>společnost</w:t>
      </w:r>
      <w:r w:rsidR="00072B7E">
        <w:t>i</w:t>
      </w:r>
      <w:r w:rsidR="00072B7E" w:rsidRPr="00F876C7">
        <w:t xml:space="preserve"> </w:t>
      </w:r>
      <w:proofErr w:type="spellStart"/>
      <w:r w:rsidR="00072B7E" w:rsidRPr="00F876C7">
        <w:t>Goodyear</w:t>
      </w:r>
      <w:proofErr w:type="spellEnd"/>
      <w:r w:rsidRPr="00F876C7">
        <w:t xml:space="preserve">; </w:t>
      </w:r>
    </w:p>
    <w:p w14:paraId="7C6C8798" w14:textId="79844FE2" w:rsidR="00C9620A" w:rsidRPr="00F876C7" w:rsidRDefault="00C9620A" w:rsidP="00311F13">
      <w:pPr>
        <w:pStyle w:val="NormalHanging12a"/>
        <w:rPr>
          <w:noProof/>
        </w:rPr>
      </w:pPr>
      <w:r w:rsidRPr="00F876C7">
        <w:t>F.</w:t>
      </w:r>
      <w:r w:rsidRPr="00F876C7">
        <w:tab/>
        <w:t xml:space="preserve">vzhledem k tomu, že společnost </w:t>
      </w:r>
      <w:proofErr w:type="spellStart"/>
      <w:r w:rsidRPr="00F876C7">
        <w:t>Goodyear</w:t>
      </w:r>
      <w:proofErr w:type="spellEnd"/>
      <w:r w:rsidRPr="00F876C7">
        <w:t xml:space="preserve"> Germany </w:t>
      </w:r>
      <w:proofErr w:type="spellStart"/>
      <w:r w:rsidRPr="00F876C7">
        <w:t>GmbH</w:t>
      </w:r>
      <w:proofErr w:type="spellEnd"/>
      <w:r w:rsidRPr="00F876C7">
        <w:t xml:space="preserve"> se specializuje na výrobu pryžových a plastových produktů, zejména pneumatik; vzhledem k tomu, že společnost čelí stále tvrdší konkurenci levných výrobků dovážených z Asie; </w:t>
      </w:r>
    </w:p>
    <w:p w14:paraId="6A9ADC62" w14:textId="4EB14D46" w:rsidR="00C9620A" w:rsidRPr="00F876C7" w:rsidRDefault="00C9620A" w:rsidP="00311F13">
      <w:pPr>
        <w:pStyle w:val="NormalHanging12a"/>
        <w:rPr>
          <w:noProof/>
        </w:rPr>
      </w:pPr>
      <w:r w:rsidRPr="00F876C7">
        <w:t>G.</w:t>
      </w:r>
      <w:r w:rsidRPr="00F876C7">
        <w:tab/>
        <w:t xml:space="preserve">vzhledem k tomu, že se jedná o druhou žádost německých orgánů o uvolnění prostředků z EFG v návaznosti na restrukturalizaci společnosti </w:t>
      </w:r>
      <w:proofErr w:type="spellStart"/>
      <w:r w:rsidRPr="00F876C7">
        <w:t>Goodyear</w:t>
      </w:r>
      <w:proofErr w:type="spellEnd"/>
      <w:r w:rsidRPr="00F876C7">
        <w:t xml:space="preserve">, neboť prostředky z EFG již byly uvolněny po uzavření </w:t>
      </w:r>
      <w:r w:rsidR="00605203">
        <w:t xml:space="preserve">jednoho ze </w:t>
      </w:r>
      <w:r w:rsidRPr="00F876C7">
        <w:t>závod</w:t>
      </w:r>
      <w:r w:rsidR="00605203">
        <w:t>ů společnosti</w:t>
      </w:r>
      <w:r w:rsidRPr="00F876C7">
        <w:t xml:space="preserve"> ve </w:t>
      </w:r>
      <w:proofErr w:type="spellStart"/>
      <w:r w:rsidRPr="00F876C7">
        <w:t>Philippsburgu</w:t>
      </w:r>
      <w:proofErr w:type="spellEnd"/>
      <w:r w:rsidRPr="00F876C7">
        <w:t xml:space="preserve"> v roce 2017;</w:t>
      </w:r>
    </w:p>
    <w:p w14:paraId="520599B5" w14:textId="77777777" w:rsidR="00C9620A" w:rsidRPr="00F876C7" w:rsidRDefault="00C9620A" w:rsidP="00311F13">
      <w:pPr>
        <w:pStyle w:val="NormalHanging12a"/>
        <w:rPr>
          <w:noProof/>
        </w:rPr>
      </w:pPr>
      <w:r w:rsidRPr="00F876C7">
        <w:t>H.</w:t>
      </w:r>
      <w:r w:rsidRPr="00F876C7">
        <w:rPr>
          <w:color w:val="7030A0"/>
        </w:rPr>
        <w:tab/>
      </w:r>
      <w:r w:rsidRPr="00F876C7">
        <w:t>vzhledem k tomu, že společnost byla nucena kvůli rychlému poklesu poptávky spojenému s rostoucími výrobními náklady přistoupit k restrukturalizačním opatřením a v roce 2024 musela v Německu v jednom závodu výrobu zcela zastavit a v dalším omezit;</w:t>
      </w:r>
    </w:p>
    <w:p w14:paraId="3BE68321" w14:textId="77777777" w:rsidR="00C9620A" w:rsidRPr="00F876C7" w:rsidRDefault="00C9620A" w:rsidP="00F90A81">
      <w:pPr>
        <w:pStyle w:val="NormalHanging12a"/>
      </w:pPr>
      <w:r w:rsidRPr="00F876C7">
        <w:t>I.</w:t>
      </w:r>
      <w:r w:rsidRPr="00F876C7">
        <w:tab/>
        <w:t>vzhledem k tomu, že vnitrostátní předběžné financování a spolufinancování příslušných opatření je poskytováno z německého spolkového rozpočtu a z prostředků Spolkového úřadu práce;</w:t>
      </w:r>
    </w:p>
    <w:p w14:paraId="154162AE" w14:textId="77777777" w:rsidR="00C9620A" w:rsidRPr="00F876C7" w:rsidRDefault="00C9620A" w:rsidP="00F90A81">
      <w:pPr>
        <w:pStyle w:val="NormalHanging12a"/>
      </w:pPr>
      <w:r w:rsidRPr="00F876C7">
        <w:t>J.</w:t>
      </w:r>
      <w:r w:rsidRPr="00F876C7">
        <w:tab/>
        <w:t xml:space="preserve">vzhledem k tomu, že byly splněny požadavky stanovené unijními a vnitrostátními </w:t>
      </w:r>
      <w:r w:rsidRPr="00F876C7">
        <w:lastRenderedPageBreak/>
        <w:t>právními předpisy, které se týkají hromadného propouštění;</w:t>
      </w:r>
    </w:p>
    <w:p w14:paraId="087370F3" w14:textId="77777777" w:rsidR="00C9620A" w:rsidRPr="00F876C7" w:rsidRDefault="00C9620A" w:rsidP="00311F13">
      <w:pPr>
        <w:pStyle w:val="NormalHanging12a"/>
      </w:pPr>
      <w:r w:rsidRPr="00F876C7">
        <w:t>K.</w:t>
      </w:r>
      <w:r w:rsidRPr="00F876C7">
        <w:tab/>
        <w:t>vzhledem k tomu, že finanční příspěvky z EFG by měly primárně směřovat na aktivní opatření politiky v oblasti trhu práce a na individualizované služby, jejichž cílem je rychle začlenit příjemce pomoci do důstojného a udržitelného zaměstnání v původním nebo jiném odvětví činnosti a zároveň je připravit na ekologičtější a </w:t>
      </w:r>
      <w:proofErr w:type="spellStart"/>
      <w:r w:rsidRPr="00F876C7">
        <w:t>digitalizovanější</w:t>
      </w:r>
      <w:proofErr w:type="spellEnd"/>
      <w:r w:rsidRPr="00F876C7">
        <w:t xml:space="preserve"> evropské hospodářství;</w:t>
      </w:r>
    </w:p>
    <w:p w14:paraId="4FC0D58C" w14:textId="77777777" w:rsidR="00C9620A" w:rsidRPr="00F876C7" w:rsidRDefault="00C9620A" w:rsidP="00311F13">
      <w:pPr>
        <w:widowControl/>
        <w:spacing w:after="240"/>
        <w:ind w:left="567" w:hanging="567"/>
        <w:rPr>
          <w:szCs w:val="24"/>
        </w:rPr>
      </w:pPr>
      <w:r w:rsidRPr="00F876C7">
        <w:t>L.</w:t>
      </w:r>
      <w:r w:rsidRPr="00F876C7">
        <w:rPr>
          <w:color w:val="7030A0"/>
        </w:rPr>
        <w:tab/>
      </w:r>
      <w:r w:rsidRPr="00F876C7">
        <w:t xml:space="preserve">vzhledem k tomu, že EFG nesmí překročit maximální roční částku 30 milionů EUR (v cenách roku 2018), jak je stanoveno v článku 8 nařízení Rady (EU, Euratom) 2020/2093 ve znění nařízení (EU, Euratom) 2024/765; </w:t>
      </w:r>
    </w:p>
    <w:p w14:paraId="33CD2956" w14:textId="77777777" w:rsidR="00C9620A" w:rsidRPr="00F876C7" w:rsidRDefault="00C9620A" w:rsidP="00311F13">
      <w:pPr>
        <w:pStyle w:val="NormalHanging12a"/>
      </w:pPr>
      <w:r w:rsidRPr="00F876C7">
        <w:t>1.</w:t>
      </w:r>
      <w:r w:rsidRPr="00F876C7">
        <w:tab/>
        <w:t>souhlasí s Komisí, že podmínky stanovené v čl. 4 odst. 2 písm. a) nařízení o EFG byly splněny, a že Německo tak má podle uvedeného nařízení nárok na finanční příspěvek ve výši 3 085 166 EUR, což představuje 60 % celkových nákladů, které činí 5 141 944 EUR a zahrnují výdaje na individualizované služby ve výši 4 936 274 EUR a výdaje na přípravné, řídicí, informační a propagační, kontrolní a vykazovací činnosti ve výši 205 670 EUR;</w:t>
      </w:r>
    </w:p>
    <w:p w14:paraId="60B79B09" w14:textId="77777777" w:rsidR="00C9620A" w:rsidRPr="00F876C7" w:rsidRDefault="00C9620A" w:rsidP="00311F13">
      <w:pPr>
        <w:pStyle w:val="NormalHanging12a"/>
      </w:pPr>
      <w:r w:rsidRPr="00F876C7">
        <w:t xml:space="preserve">2. </w:t>
      </w:r>
      <w:r w:rsidRPr="00F876C7">
        <w:tab/>
        <w:t xml:space="preserve">konstatuje, že německé orgány podaly žádost dne 10. března 2025 a že poté, co Německo poskytlo další informace, Komise dokončila posouzení dne 29. července 2025, tj. o více než čtyři měsíce později, a dne 26. srpna 2025 o tom informovala Parlament; </w:t>
      </w:r>
    </w:p>
    <w:p w14:paraId="7EC39D74" w14:textId="77777777" w:rsidR="00C9620A" w:rsidRPr="00F876C7" w:rsidRDefault="00C9620A" w:rsidP="00311F13">
      <w:pPr>
        <w:pStyle w:val="NormalHanging12a"/>
      </w:pPr>
      <w:r w:rsidRPr="00F876C7">
        <w:t>3.</w:t>
      </w:r>
      <w:r w:rsidRPr="00F876C7">
        <w:tab/>
        <w:t xml:space="preserve">bere na vědomí, že žádost se týká 1 171 propuštěných pracovníků po uzavření výrobního závodu ve </w:t>
      </w:r>
      <w:proofErr w:type="spellStart"/>
      <w:r w:rsidRPr="00F876C7">
        <w:t>Fuldě</w:t>
      </w:r>
      <w:proofErr w:type="spellEnd"/>
      <w:r w:rsidRPr="00F876C7">
        <w:t xml:space="preserve"> a částečném uzavření výrobních závodů v </w:t>
      </w:r>
      <w:proofErr w:type="spellStart"/>
      <w:r w:rsidRPr="00F876C7">
        <w:t>Hanau</w:t>
      </w:r>
      <w:proofErr w:type="spellEnd"/>
      <w:r w:rsidRPr="00F876C7">
        <w:t>; dále poznamenává, že cílovými příjemci bude celkem 915 propuštěných pracovníků, u nichž se očekává, že se budou účastnit opatření;</w:t>
      </w:r>
    </w:p>
    <w:p w14:paraId="317C6EA4" w14:textId="77777777" w:rsidR="00C9620A" w:rsidRPr="00F876C7" w:rsidRDefault="00C9620A" w:rsidP="00311F13">
      <w:pPr>
        <w:pStyle w:val="NormalHanging12a"/>
      </w:pPr>
      <w:r w:rsidRPr="00F876C7">
        <w:t>4.</w:t>
      </w:r>
      <w:r w:rsidRPr="00F876C7">
        <w:tab/>
        <w:t xml:space="preserve">bere na vědomí, že většina propuštěných pracovníků dosáhla nižšího vzdělání (56 % nižšího sekundárního nebo ještě nižšího vzdělání) a je ve věku 54 let či více (42 %); zdůrazňuje, že zejména starší pracovníci představují vysoce zranitelnou skupinu, která kvůli omezeným příležitostem ke zvyšování dovedností a rekvalifikaci čelí značným překážkám při opětovném získávání práce; </w:t>
      </w:r>
    </w:p>
    <w:p w14:paraId="0DAD5B07" w14:textId="02EE481B" w:rsidR="00C9620A" w:rsidRPr="00F876C7" w:rsidRDefault="00C9620A" w:rsidP="00311F13">
      <w:pPr>
        <w:pStyle w:val="NormalHanging12a"/>
      </w:pPr>
      <w:r w:rsidRPr="00F876C7">
        <w:t>5.</w:t>
      </w:r>
      <w:r w:rsidRPr="00F876C7">
        <w:tab/>
        <w:t xml:space="preserve">poukazuje na skutečnost, že kvůli propouštění ve společnosti </w:t>
      </w:r>
      <w:proofErr w:type="spellStart"/>
      <w:r w:rsidRPr="00F876C7">
        <w:t>Goodyear</w:t>
      </w:r>
      <w:proofErr w:type="spellEnd"/>
      <w:r w:rsidRPr="00F876C7">
        <w:t xml:space="preserve"> </w:t>
      </w:r>
      <w:r w:rsidR="006E77DB">
        <w:t>se</w:t>
      </w:r>
      <w:r w:rsidRPr="00F876C7">
        <w:t xml:space="preserve"> roční míra nezaměstnanosti v regionu </w:t>
      </w:r>
      <w:proofErr w:type="spellStart"/>
      <w:r w:rsidRPr="00F876C7">
        <w:t>Fulda</w:t>
      </w:r>
      <w:proofErr w:type="spellEnd"/>
      <w:r w:rsidR="006E77DB">
        <w:t xml:space="preserve"> zvýšila o více než</w:t>
      </w:r>
      <w:r w:rsidRPr="00F876C7">
        <w:t xml:space="preserve"> 10 % a že mezi postiženými jsou převážně muži a osoby starší 50 let, z nichž mnozí mají zastaralou kvalifikaci a dovednosti, které nevyhovují současným potřebám trhu práce; zdůrazňuje, že je třeba urychleně jednat, aby se zabránilo strukturálnímu úpadku regionu, a upozorňuje na důležitost podpory kvalitních pracovních míst orientovaných na budoucnost, má-li se zajistit jeho dlouhodobá hospodářská a sociální odolnost;</w:t>
      </w:r>
    </w:p>
    <w:p w14:paraId="4E89E007" w14:textId="77777777" w:rsidR="00C9620A" w:rsidRPr="00F876C7" w:rsidRDefault="00C9620A" w:rsidP="00311F13">
      <w:pPr>
        <w:pStyle w:val="NormalHanging12a"/>
      </w:pPr>
      <w:r w:rsidRPr="00F876C7">
        <w:t>6.</w:t>
      </w:r>
      <w:r w:rsidRPr="00F876C7">
        <w:tab/>
        <w:t>připomíná, že pracovníkům mají být poskytnuty tyto individualizované služby: významná opatření na zvyšování kvalifikace a rekvalifikaci, poradenské a konzultační služby, služby profesní orientace a aktivační opatření, poskytování poradenství a grantů při zahájení podnikání, pomoc s hledáním práce, pobídky pro zvyšování a doplňování kvalifikace, příspěvky na odbornou přípravu či školení v digitálních technologiích; v této souvislosti zdůrazňuje, že dobře vyškolená pracovní síla je klíčem k evropskému hospodářství, které obstojí i proti výzvám budoucnosti;</w:t>
      </w:r>
    </w:p>
    <w:p w14:paraId="1A644722" w14:textId="77777777" w:rsidR="00C9620A" w:rsidRPr="00F876C7" w:rsidRDefault="00C9620A" w:rsidP="00311F13">
      <w:pPr>
        <w:pStyle w:val="NormalHanging12a"/>
      </w:pPr>
      <w:r w:rsidRPr="00F876C7">
        <w:t>7.</w:t>
      </w:r>
      <w:r w:rsidRPr="00F876C7">
        <w:tab/>
        <w:t xml:space="preserve">domnívá se, že je sociální odpovědností Unie a členských států, aby těmto propuštěným </w:t>
      </w:r>
      <w:r w:rsidRPr="00F876C7">
        <w:lastRenderedPageBreak/>
        <w:t>pracovníkům poskytly nezbytnou kvalifikaci pro evropské hospodářství, které bude připraveno na potřeby budoucnosti a úspěšně dovede do konce digitální a ekologickou transformaci; domnívá se proto, že uvolnění prostředků z EFG musí být součástí širší politické reakce;</w:t>
      </w:r>
    </w:p>
    <w:p w14:paraId="1409ADFC" w14:textId="77777777" w:rsidR="00C9620A" w:rsidRPr="00F876C7" w:rsidRDefault="00C9620A" w:rsidP="00311F13">
      <w:pPr>
        <w:pStyle w:val="NormalHanging12a"/>
      </w:pPr>
      <w:r w:rsidRPr="00F876C7">
        <w:t>8.</w:t>
      </w:r>
      <w:r w:rsidRPr="00F876C7">
        <w:tab/>
        <w:t>vyzývá k důkladnému závěrečnému zhodnocení prováděných opatření, které bude zahrnovat údaje o počtu pracovníků, kteří se úspěšně vrátili do zaměstnání, a o počtu pracovníků, kteří dokončili vzdělávací a nadstavbové kurzy;</w:t>
      </w:r>
    </w:p>
    <w:p w14:paraId="6CE04D8A" w14:textId="77777777" w:rsidR="00C9620A" w:rsidRPr="00F876C7" w:rsidRDefault="00C9620A" w:rsidP="00311F13">
      <w:pPr>
        <w:pStyle w:val="NormalHanging12a"/>
      </w:pPr>
      <w:r w:rsidRPr="00F876C7">
        <w:t>9.</w:t>
      </w:r>
      <w:r w:rsidRPr="00F876C7">
        <w:tab/>
        <w:t xml:space="preserve">konstatuje, že k 20. únoru 2025 bylo mezi podnikem </w:t>
      </w:r>
      <w:proofErr w:type="spellStart"/>
      <w:r w:rsidRPr="00F876C7">
        <w:t>Goodyear</w:t>
      </w:r>
      <w:proofErr w:type="spellEnd"/>
      <w:r w:rsidRPr="00F876C7">
        <w:t xml:space="preserve">, zaměstnanci a společností PMB International </w:t>
      </w:r>
      <w:proofErr w:type="spellStart"/>
      <w:r w:rsidRPr="00F876C7">
        <w:t>GmbH</w:t>
      </w:r>
      <w:proofErr w:type="spellEnd"/>
      <w:r w:rsidRPr="00F876C7">
        <w:t>, což je poskytovatel služeb, který byl vybrán k řízení přechodové společnosti, uzavřeno celkem 915 trojstranných smluv, přičemž do přechodové společnosti by mělo být převedeno 781 pracovníků z </w:t>
      </w:r>
      <w:proofErr w:type="spellStart"/>
      <w:r w:rsidRPr="00F876C7">
        <w:t>Fuldy</w:t>
      </w:r>
      <w:proofErr w:type="spellEnd"/>
      <w:r w:rsidRPr="00F876C7">
        <w:t xml:space="preserve"> a 134 z </w:t>
      </w:r>
      <w:proofErr w:type="spellStart"/>
      <w:r w:rsidRPr="00F876C7">
        <w:t>Hanau</w:t>
      </w:r>
      <w:proofErr w:type="spellEnd"/>
      <w:r w:rsidRPr="00F876C7">
        <w:t>; s potěšením bere na vědomí náznaky, že spolu s podepsáním dalších dohod by mělo dojít k nárůstu těchto čísel;</w:t>
      </w:r>
    </w:p>
    <w:p w14:paraId="740B9C65" w14:textId="0A50E6D7" w:rsidR="00C9620A" w:rsidRPr="00F876C7" w:rsidRDefault="00C9620A" w:rsidP="00311F13">
      <w:pPr>
        <w:pStyle w:val="NormalHanging12a"/>
      </w:pPr>
      <w:r w:rsidRPr="00F876C7">
        <w:t>10.</w:t>
      </w:r>
      <w:r w:rsidRPr="00F876C7">
        <w:tab/>
        <w:t xml:space="preserve">konstatuje, že Německo začalo cílovým příjemcům poskytovat individualizované služby dne 1. listopadu 2024, a že období způsobilosti pro finanční příspěvek z EFG tudíž trvá od tohoto data po 24 měsíců ode dne vstupu rozhodnutí </w:t>
      </w:r>
      <w:r w:rsidR="001278A5">
        <w:t>uvedeného v příloze k tomuto usnesení</w:t>
      </w:r>
      <w:r w:rsidRPr="00F876C7">
        <w:t xml:space="preserve"> v platnost;</w:t>
      </w:r>
    </w:p>
    <w:p w14:paraId="7C7BB2DE" w14:textId="5CB46DF8" w:rsidR="00C9620A" w:rsidRPr="00F876C7" w:rsidRDefault="00C9620A" w:rsidP="00311F13">
      <w:pPr>
        <w:pStyle w:val="NormalHanging12a"/>
        <w:rPr>
          <w:sz w:val="23"/>
          <w:szCs w:val="23"/>
        </w:rPr>
      </w:pPr>
      <w:r w:rsidRPr="00F876C7">
        <w:t>11.</w:t>
      </w:r>
      <w:r w:rsidRPr="00F876C7">
        <w:tab/>
        <w:t xml:space="preserve">konstatuje, že Německu začaly vznikat administrativní výdaje spojené s prováděním EFG dne 1. listopadu 2024, a že tyto výdaje jsou proto způsobilé pro finanční příspěvek z EFG od tohoto data po 31 měsíců ode dne vstupu rozhodnutí </w:t>
      </w:r>
      <w:r w:rsidR="001278A5">
        <w:t xml:space="preserve">uvedeného v příloze k tomuto usnesení </w:t>
      </w:r>
      <w:r w:rsidRPr="00F876C7">
        <w:t>v platnost;</w:t>
      </w:r>
    </w:p>
    <w:p w14:paraId="3089E94F" w14:textId="77777777" w:rsidR="00C9620A" w:rsidRPr="00F876C7" w:rsidRDefault="00C9620A" w:rsidP="00311F13">
      <w:pPr>
        <w:pStyle w:val="NormalHanging12a"/>
      </w:pPr>
      <w:r w:rsidRPr="00F876C7">
        <w:t>12.</w:t>
      </w:r>
      <w:r w:rsidRPr="00F876C7">
        <w:tab/>
        <w:t>zdůrazňuje, že německé orgány potvrdily, že při přístupu k navrhovaným opatřením a jejich provádění budou dodržovat zásady rovného zacházení a nediskriminace a že zamezí dvojímu financování;</w:t>
      </w:r>
    </w:p>
    <w:p w14:paraId="35C83C83" w14:textId="77777777" w:rsidR="00C9620A" w:rsidRPr="00F876C7" w:rsidRDefault="00C9620A" w:rsidP="00311F13">
      <w:pPr>
        <w:pStyle w:val="NormalHanging12a"/>
      </w:pPr>
      <w:r w:rsidRPr="00F876C7">
        <w:t>13.</w:t>
      </w:r>
      <w:r w:rsidRPr="00F876C7">
        <w:tab/>
        <w:t>připomíná, že německé orgány si jsou vědomy toho, že finanční prostředky jsou poskytovány z unijních zdrojů, a že zajišťují, aby tato skutečnost vešla ve veřejnou známost, přičemž upozorňují na přidanou hodnotu Unie; zdůrazňuje, že příspěvek Unie by měl být zviditelněn prostřednictvím cílených informačních opatření zaměřených na příjemce, sociální partnery a média;</w:t>
      </w:r>
    </w:p>
    <w:p w14:paraId="5DC64BFF" w14:textId="77777777" w:rsidR="00C9620A" w:rsidRPr="00F876C7" w:rsidRDefault="00C9620A" w:rsidP="00311F13">
      <w:pPr>
        <w:pStyle w:val="NormalHanging12a"/>
      </w:pPr>
      <w:r w:rsidRPr="00F876C7">
        <w:t>14.</w:t>
      </w:r>
      <w:r w:rsidRPr="00F876C7">
        <w:tab/>
        <w:t>opakuje, že pomoc z EFG nesmí nahrazovat opatření, za něž na základě vnitrostátních právních předpisů nebo kolektivních smluv odpovídají podniky;</w:t>
      </w:r>
    </w:p>
    <w:p w14:paraId="1B5E70BF" w14:textId="77777777" w:rsidR="00C9620A" w:rsidRPr="00F876C7" w:rsidRDefault="00C9620A" w:rsidP="00311F13">
      <w:pPr>
        <w:pStyle w:val="NormalHanging12a"/>
      </w:pPr>
      <w:r w:rsidRPr="00F876C7">
        <w:t>15.</w:t>
      </w:r>
      <w:r w:rsidRPr="00F876C7">
        <w:tab/>
        <w:t xml:space="preserve">zdůrazňuje, že je naléhavě nutné, aby se Unie v úzkém partnerství s členskými státy konzistentně a koordinovaně zasazovala o posílení konkurenceschopnosti, tak aby byla chráněna pracovní základna evropského průmyslu a sociální zabezpečení; zdůrazňuje, že pouze silné a odolné evropské hospodářství může účinně zabránit rozsáhlému propouštění, čímž se v první řadě </w:t>
      </w:r>
      <w:proofErr w:type="gramStart"/>
      <w:r w:rsidRPr="00F876C7">
        <w:t>sníží</w:t>
      </w:r>
      <w:proofErr w:type="gramEnd"/>
      <w:r w:rsidRPr="00F876C7">
        <w:t xml:space="preserve"> potřeba pomoci z EFG;</w:t>
      </w:r>
    </w:p>
    <w:p w14:paraId="11181393" w14:textId="77777777" w:rsidR="00C9620A" w:rsidRPr="00F876C7" w:rsidRDefault="00C9620A" w:rsidP="00311F13">
      <w:pPr>
        <w:pStyle w:val="NormalHanging12a"/>
      </w:pPr>
      <w:r w:rsidRPr="00F876C7">
        <w:t>16.</w:t>
      </w:r>
      <w:r w:rsidRPr="00F876C7">
        <w:tab/>
        <w:t>schvaluje rozhodnutí uvedené v příloze k tomuto usnesení;</w:t>
      </w:r>
    </w:p>
    <w:p w14:paraId="63B3AD1E" w14:textId="77777777" w:rsidR="00C9620A" w:rsidRPr="00F876C7" w:rsidRDefault="00C9620A" w:rsidP="00311F13">
      <w:pPr>
        <w:pStyle w:val="NormalHanging12a"/>
      </w:pPr>
      <w:r w:rsidRPr="00F876C7">
        <w:t>17.</w:t>
      </w:r>
      <w:r w:rsidRPr="00F876C7">
        <w:tab/>
        <w:t>pověřuje svou předsedkyni, aby podepsala toto rozhodnutí společně s předsedou Rady a aby zajistila jeho zveřejnění v </w:t>
      </w:r>
      <w:r w:rsidRPr="00F876C7">
        <w:rPr>
          <w:i/>
          <w:iCs/>
        </w:rPr>
        <w:t>Úředním věstníku Evropské unie</w:t>
      </w:r>
      <w:r w:rsidRPr="00F876C7">
        <w:t>;</w:t>
      </w:r>
    </w:p>
    <w:p w14:paraId="7F053302" w14:textId="77777777" w:rsidR="00C9620A" w:rsidRPr="00F876C7" w:rsidRDefault="00C9620A" w:rsidP="00F90A81">
      <w:pPr>
        <w:widowControl/>
        <w:spacing w:after="240"/>
        <w:ind w:left="567" w:hanging="567"/>
      </w:pPr>
      <w:r w:rsidRPr="00F876C7">
        <w:t>18.</w:t>
      </w:r>
      <w:r w:rsidRPr="00F876C7">
        <w:tab/>
        <w:t>pověřuje svou předsedkyni, aby předala toto usnesení včetně přílohy Radě a Komisi.</w:t>
      </w:r>
    </w:p>
    <w:p w14:paraId="0582CF23" w14:textId="77777777" w:rsidR="00C9620A" w:rsidRPr="00F876C7" w:rsidRDefault="00C9620A" w:rsidP="00C9620A"/>
    <w:p w14:paraId="06512B7D" w14:textId="77777777" w:rsidR="00C9620A" w:rsidRPr="00F876C7" w:rsidRDefault="00C9620A" w:rsidP="00C9620A">
      <w:pPr>
        <w:sectPr w:rsidR="00C9620A" w:rsidRPr="00F876C7" w:rsidSect="0068620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08A1EF05" w14:textId="77777777" w:rsidR="003943C0" w:rsidRPr="003943C0" w:rsidRDefault="00C9620A" w:rsidP="00C9620A">
      <w:pPr>
        <w:pStyle w:val="PageHeading"/>
        <w:rPr>
          <w:rFonts w:ascii="Times New Roman" w:hAnsi="Times New Roman" w:cs="Times New Roman"/>
        </w:rPr>
      </w:pPr>
      <w:bookmarkStart w:id="7" w:name="_Toc210317009"/>
      <w:r w:rsidRPr="003943C0">
        <w:rPr>
          <w:rFonts w:ascii="Times New Roman" w:hAnsi="Times New Roman" w:cs="Times New Roman"/>
        </w:rPr>
        <w:lastRenderedPageBreak/>
        <w:t>PŘÍLOHA</w:t>
      </w:r>
    </w:p>
    <w:p w14:paraId="72FE0F9B" w14:textId="4A7BC0D8" w:rsidR="00C9620A" w:rsidRPr="003943C0" w:rsidRDefault="00C9620A" w:rsidP="00C9620A">
      <w:pPr>
        <w:pStyle w:val="PageHeading"/>
        <w:rPr>
          <w:rFonts w:ascii="Times New Roman" w:hAnsi="Times New Roman" w:cs="Times New Roman"/>
          <w:noProof/>
        </w:rPr>
      </w:pPr>
      <w:r w:rsidRPr="003943C0">
        <w:rPr>
          <w:rFonts w:ascii="Times New Roman" w:hAnsi="Times New Roman" w:cs="Times New Roman"/>
        </w:rPr>
        <w:t>ROZHODNUTÍ EVROPSKÉHO PARLAMENTU A RADY</w:t>
      </w:r>
      <w:bookmarkEnd w:id="7"/>
    </w:p>
    <w:p w14:paraId="17A9AC2A" w14:textId="07F18F55" w:rsidR="00C9620A" w:rsidRDefault="00C9620A" w:rsidP="00C9620A">
      <w:pPr>
        <w:pStyle w:val="NormalBold24a"/>
        <w:spacing w:before="120" w:after="0"/>
      </w:pPr>
      <w:r w:rsidRPr="00F876C7">
        <w:t>o uvolnění prostředků z Evropského fondu pro přizpůsobení se globalizaci na pomoc propuštěným pracovníkům na základě žádosti Německa EGF/2025/002 DE/</w:t>
      </w:r>
      <w:proofErr w:type="spellStart"/>
      <w:r w:rsidRPr="00F876C7">
        <w:t>Goodyear</w:t>
      </w:r>
      <w:proofErr w:type="spellEnd"/>
      <w:r w:rsidRPr="00F876C7">
        <w:t> 2</w:t>
      </w:r>
    </w:p>
    <w:p w14:paraId="5CCAF1C0" w14:textId="2FD17060" w:rsidR="003943C0" w:rsidRPr="003943C0" w:rsidRDefault="003943C0" w:rsidP="003943C0">
      <w:pPr>
        <w:pStyle w:val="NormalBold24a"/>
        <w:spacing w:before="600" w:after="0"/>
        <w:rPr>
          <w:b w:val="0"/>
          <w:bCs w:val="0"/>
          <w:i/>
          <w:iCs/>
          <w:noProof/>
        </w:rPr>
      </w:pPr>
      <w:r w:rsidRPr="003943C0">
        <w:rPr>
          <w:b w:val="0"/>
          <w:bCs w:val="0"/>
          <w:i/>
          <w:iCs/>
          <w:noProof/>
        </w:rPr>
        <w:t>(Znění této přílohy se zde neuvádí, jelikož odpovídá znění konečného aktu, rozhodnutí (EU) 202</w:t>
      </w:r>
      <w:r>
        <w:rPr>
          <w:b w:val="0"/>
          <w:bCs w:val="0"/>
          <w:i/>
          <w:iCs/>
          <w:noProof/>
        </w:rPr>
        <w:t>5</w:t>
      </w:r>
      <w:r w:rsidRPr="003943C0">
        <w:rPr>
          <w:b w:val="0"/>
          <w:bCs w:val="0"/>
          <w:i/>
          <w:iCs/>
          <w:noProof/>
        </w:rPr>
        <w:t>/</w:t>
      </w:r>
      <w:r>
        <w:rPr>
          <w:b w:val="0"/>
          <w:bCs w:val="0"/>
          <w:i/>
          <w:iCs/>
          <w:noProof/>
        </w:rPr>
        <w:t>2135</w:t>
      </w:r>
      <w:r w:rsidRPr="003943C0">
        <w:rPr>
          <w:b w:val="0"/>
          <w:bCs w:val="0"/>
          <w:i/>
          <w:iCs/>
          <w:noProof/>
        </w:rPr>
        <w:t>.)</w:t>
      </w:r>
    </w:p>
    <w:sectPr w:rsidR="003943C0" w:rsidRPr="003943C0" w:rsidSect="006862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80F77" w14:textId="77777777" w:rsidR="00D83CE7" w:rsidRPr="0068620B" w:rsidRDefault="00D83CE7">
      <w:r w:rsidRPr="0068620B">
        <w:separator/>
      </w:r>
    </w:p>
  </w:endnote>
  <w:endnote w:type="continuationSeparator" w:id="0">
    <w:p w14:paraId="356BC536" w14:textId="77777777" w:rsidR="00D83CE7" w:rsidRPr="0068620B" w:rsidRDefault="00D83CE7">
      <w:r w:rsidRPr="006862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2F888" w14:textId="77777777" w:rsidR="00C9620A" w:rsidRPr="0068620B" w:rsidRDefault="00C9620A" w:rsidP="009135CA">
    <w:pPr>
      <w:pStyle w:val="EPFooter"/>
    </w:pPr>
    <w:r w:rsidRPr="0068620B">
      <w:t>PE</w:t>
    </w:r>
    <w:r w:rsidRPr="0068620B">
      <w:rPr>
        <w:rStyle w:val="HideTWBExt"/>
      </w:rPr>
      <w:t>&lt;NoPE&gt;</w:t>
    </w:r>
    <w:r w:rsidRPr="0068620B">
      <w:t>776.828</w:t>
    </w:r>
    <w:r w:rsidRPr="0068620B">
      <w:rPr>
        <w:rStyle w:val="HideTWBExt"/>
      </w:rPr>
      <w:t>&lt;/NoPE&gt;&lt;Version&gt;</w:t>
    </w:r>
    <w:r w:rsidRPr="0068620B">
      <w:t>v02-00</w:t>
    </w:r>
    <w:r w:rsidRPr="0068620B">
      <w:rPr>
        <w:rStyle w:val="HideTWBExt"/>
      </w:rPr>
      <w:t>&lt;/Version&gt;</w:t>
    </w:r>
    <w:r w:rsidRPr="0068620B">
      <w:tab/>
    </w:r>
    <w:r w:rsidRPr="0068620B">
      <w:fldChar w:fldCharType="begin"/>
    </w:r>
    <w:r w:rsidRPr="0068620B">
      <w:instrText xml:space="preserve"> PAGE  \* MERGEFORMAT </w:instrText>
    </w:r>
    <w:r w:rsidRPr="0068620B">
      <w:fldChar w:fldCharType="separate"/>
    </w:r>
    <w:r w:rsidRPr="0068620B">
      <w:rPr>
        <w:noProof/>
      </w:rPr>
      <w:t>18</w:t>
    </w:r>
    <w:r w:rsidRPr="0068620B">
      <w:fldChar w:fldCharType="end"/>
    </w:r>
    <w:r w:rsidRPr="0068620B">
      <w:t>/</w:t>
    </w:r>
    <w:r w:rsidR="003943C0">
      <w:fldChar w:fldCharType="begin"/>
    </w:r>
    <w:r w:rsidR="003943C0">
      <w:instrText xml:space="preserve"> NUMPAGES  \* MERGEFORMAT </w:instrText>
    </w:r>
    <w:r w:rsidR="003943C0">
      <w:fldChar w:fldCharType="separate"/>
    </w:r>
    <w:r w:rsidRPr="0068620B">
      <w:rPr>
        <w:noProof/>
      </w:rPr>
      <w:t>18</w:t>
    </w:r>
    <w:r w:rsidR="003943C0">
      <w:rPr>
        <w:noProof/>
      </w:rPr>
      <w:fldChar w:fldCharType="end"/>
    </w:r>
    <w:r w:rsidRPr="0068620B">
      <w:tab/>
    </w:r>
    <w:r w:rsidRPr="0068620B">
      <w:rPr>
        <w:rStyle w:val="HideTWBExt"/>
      </w:rPr>
      <w:t>&lt;PathFdR&gt;</w:t>
    </w:r>
    <w:r w:rsidRPr="0068620B">
      <w:t>RR\1328613CS.docx</w:t>
    </w:r>
    <w:r w:rsidRPr="0068620B">
      <w:rPr>
        <w:rStyle w:val="HideTWBExt"/>
      </w:rPr>
      <w:t>&lt;/PathFdR&gt;</w:t>
    </w:r>
  </w:p>
  <w:p w14:paraId="1D15586B" w14:textId="77777777" w:rsidR="00C9620A" w:rsidRPr="0068620B" w:rsidRDefault="00C9620A" w:rsidP="009135CA">
    <w:pPr>
      <w:pStyle w:val="EPFooter2"/>
    </w:pPr>
    <w:r w:rsidRPr="0068620B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65E78" w14:textId="77777777" w:rsidR="00C9620A" w:rsidRPr="0068620B" w:rsidRDefault="00C9620A" w:rsidP="009135CA">
    <w:pPr>
      <w:pStyle w:val="EPFooter"/>
    </w:pPr>
    <w:r w:rsidRPr="0068620B">
      <w:rPr>
        <w:rStyle w:val="HideTWBExt"/>
      </w:rPr>
      <w:t>&lt;PathFdR&gt;</w:t>
    </w:r>
    <w:r w:rsidRPr="0068620B">
      <w:t>RR\1328613CS.docx</w:t>
    </w:r>
    <w:r w:rsidRPr="0068620B">
      <w:rPr>
        <w:rStyle w:val="HideTWBExt"/>
      </w:rPr>
      <w:t>&lt;/PathFdR&gt;</w:t>
    </w:r>
    <w:r w:rsidRPr="0068620B">
      <w:tab/>
    </w:r>
    <w:r w:rsidRPr="0068620B">
      <w:tab/>
      <w:t>PE</w:t>
    </w:r>
    <w:r w:rsidRPr="0068620B">
      <w:rPr>
        <w:rStyle w:val="HideTWBExt"/>
      </w:rPr>
      <w:t>&lt;NoPE&gt;</w:t>
    </w:r>
    <w:r w:rsidRPr="0068620B">
      <w:t>776.828</w:t>
    </w:r>
    <w:r w:rsidRPr="0068620B">
      <w:rPr>
        <w:rStyle w:val="HideTWBExt"/>
      </w:rPr>
      <w:t>&lt;/NoPE&gt;&lt;Version&gt;</w:t>
    </w:r>
    <w:r w:rsidRPr="0068620B">
      <w:t>v02-00</w:t>
    </w:r>
    <w:r w:rsidRPr="0068620B">
      <w:rPr>
        <w:rStyle w:val="HideTWBExt"/>
      </w:rPr>
      <w:t>&lt;/Version&gt;</w:t>
    </w:r>
  </w:p>
  <w:p w14:paraId="60430E77" w14:textId="77777777" w:rsidR="00C9620A" w:rsidRPr="0068620B" w:rsidRDefault="00C9620A" w:rsidP="009135CA">
    <w:pPr>
      <w:pStyle w:val="EPFooter2"/>
    </w:pPr>
    <w:r w:rsidRPr="0068620B">
      <w:t>CS</w:t>
    </w:r>
    <w:r w:rsidRPr="0068620B">
      <w:tab/>
    </w:r>
    <w:r w:rsidRPr="0068620B">
      <w:rPr>
        <w:b w:val="0"/>
        <w:i/>
        <w:color w:val="C0C0C0"/>
        <w:sz w:val="22"/>
      </w:rPr>
      <w:t>Jednotná v rozmanitosti</w:t>
    </w:r>
    <w:r w:rsidRPr="0068620B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38B17" w14:textId="77777777" w:rsidR="00064002" w:rsidRPr="0068620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A5428" w14:textId="77777777" w:rsidR="00064002" w:rsidRPr="0068620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FB470" w14:textId="77777777" w:rsidR="00064002" w:rsidRPr="006862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96A28" w14:textId="77777777" w:rsidR="00D83CE7" w:rsidRPr="0068620B" w:rsidRDefault="00D83CE7">
      <w:r w:rsidRPr="0068620B">
        <w:separator/>
      </w:r>
    </w:p>
  </w:footnote>
  <w:footnote w:type="continuationSeparator" w:id="0">
    <w:p w14:paraId="71865387" w14:textId="77777777" w:rsidR="00D83CE7" w:rsidRPr="0068620B" w:rsidRDefault="00D83CE7">
      <w:r w:rsidRPr="0068620B">
        <w:continuationSeparator/>
      </w:r>
    </w:p>
  </w:footnote>
  <w:footnote w:id="1">
    <w:p w14:paraId="3C94DE0E" w14:textId="47E28D3E" w:rsidR="00C9620A" w:rsidRPr="0068620B" w:rsidRDefault="00C9620A" w:rsidP="0068620B">
      <w:pPr>
        <w:pStyle w:val="FootnoteText"/>
        <w:ind w:left="567" w:hanging="567"/>
        <w:rPr>
          <w:sz w:val="24"/>
          <w:lang w:val="cs-CZ"/>
        </w:rPr>
      </w:pPr>
      <w:r w:rsidRPr="00D9487C">
        <w:rPr>
          <w:rStyle w:val="FootnoteReference"/>
          <w:sz w:val="24"/>
          <w:lang w:val="cs-CZ"/>
        </w:rPr>
        <w:footnoteRef/>
      </w:r>
      <w:r w:rsidR="0068620B" w:rsidRPr="00D9487C">
        <w:rPr>
          <w:sz w:val="24"/>
          <w:lang w:val="cs-CZ"/>
        </w:rPr>
        <w:t xml:space="preserve"> </w:t>
      </w:r>
      <w:r w:rsidR="0068620B" w:rsidRPr="00D9487C">
        <w:rPr>
          <w:sz w:val="24"/>
          <w:lang w:val="cs-CZ"/>
        </w:rPr>
        <w:tab/>
      </w:r>
      <w:proofErr w:type="spellStart"/>
      <w:r w:rsidRPr="00D9487C">
        <w:rPr>
          <w:sz w:val="24"/>
          <w:lang w:val="cs-CZ"/>
        </w:rPr>
        <w:t>Úř</w:t>
      </w:r>
      <w:proofErr w:type="spellEnd"/>
      <w:r w:rsidRPr="00D9487C">
        <w:rPr>
          <w:sz w:val="24"/>
          <w:lang w:val="cs-CZ"/>
        </w:rPr>
        <w:t xml:space="preserve">. </w:t>
      </w:r>
      <w:proofErr w:type="spellStart"/>
      <w:r w:rsidRPr="00D9487C">
        <w:rPr>
          <w:sz w:val="24"/>
          <w:lang w:val="cs-CZ"/>
        </w:rPr>
        <w:t>věst</w:t>
      </w:r>
      <w:proofErr w:type="spellEnd"/>
      <w:r w:rsidRPr="00D9487C">
        <w:rPr>
          <w:sz w:val="24"/>
          <w:lang w:val="cs-CZ"/>
        </w:rPr>
        <w:t xml:space="preserve">. L 153, 3.5.2021, s. 48, ELI: </w:t>
      </w:r>
      <w:r w:rsidR="003943C0">
        <w:fldChar w:fldCharType="begin"/>
      </w:r>
      <w:r w:rsidR="003943C0" w:rsidRPr="003943C0">
        <w:rPr>
          <w:lang w:val="fi-FI"/>
        </w:rPr>
        <w:instrText>HYPERLINK "http://data.europa.eu/eli/reg/2021/691/oj"</w:instrText>
      </w:r>
      <w:r w:rsidR="003943C0">
        <w:fldChar w:fldCharType="separate"/>
      </w:r>
      <w:r w:rsidRPr="0068620B">
        <w:rPr>
          <w:rStyle w:val="Hyperlink"/>
          <w:sz w:val="24"/>
          <w:lang w:val="cs-CZ"/>
        </w:rPr>
        <w:t>http://data.europa.eu/eli/reg/2021/691/oj</w:t>
      </w:r>
      <w:r w:rsidR="003943C0">
        <w:rPr>
          <w:rStyle w:val="Hyperlink"/>
          <w:sz w:val="24"/>
          <w:lang w:val="cs-CZ"/>
        </w:rPr>
        <w:fldChar w:fldCharType="end"/>
      </w:r>
      <w:r w:rsidRPr="0068620B">
        <w:rPr>
          <w:sz w:val="24"/>
          <w:lang w:val="cs-CZ"/>
        </w:rPr>
        <w:t>.</w:t>
      </w:r>
    </w:p>
  </w:footnote>
  <w:footnote w:id="2">
    <w:p w14:paraId="3617A4B1" w14:textId="23BF1035" w:rsidR="00C9620A" w:rsidRPr="0068620B" w:rsidRDefault="00C9620A" w:rsidP="0068620B">
      <w:pPr>
        <w:pStyle w:val="FootnoteText"/>
        <w:ind w:left="567" w:hanging="567"/>
        <w:rPr>
          <w:sz w:val="24"/>
          <w:lang w:val="cs-CZ"/>
        </w:rPr>
      </w:pPr>
      <w:r w:rsidRPr="00D9487C">
        <w:rPr>
          <w:rStyle w:val="FootnoteReference"/>
          <w:sz w:val="24"/>
          <w:lang w:val="cs-CZ"/>
        </w:rPr>
        <w:footnoteRef/>
      </w:r>
      <w:r w:rsidR="0068620B" w:rsidRPr="00D9487C">
        <w:rPr>
          <w:sz w:val="24"/>
          <w:lang w:val="cs-CZ"/>
        </w:rPr>
        <w:t xml:space="preserve"> </w:t>
      </w:r>
      <w:r w:rsidR="0068620B" w:rsidRPr="00D9487C">
        <w:rPr>
          <w:sz w:val="24"/>
          <w:lang w:val="cs-CZ"/>
        </w:rPr>
        <w:tab/>
      </w:r>
      <w:proofErr w:type="spellStart"/>
      <w:r w:rsidRPr="00D9487C">
        <w:rPr>
          <w:sz w:val="24"/>
          <w:lang w:val="cs-CZ"/>
        </w:rPr>
        <w:t>Úř</w:t>
      </w:r>
      <w:proofErr w:type="spellEnd"/>
      <w:r w:rsidRPr="00D9487C">
        <w:rPr>
          <w:sz w:val="24"/>
          <w:lang w:val="cs-CZ"/>
        </w:rPr>
        <w:t xml:space="preserve">. </w:t>
      </w:r>
      <w:proofErr w:type="spellStart"/>
      <w:r w:rsidRPr="00D9487C">
        <w:rPr>
          <w:sz w:val="24"/>
          <w:lang w:val="cs-CZ"/>
        </w:rPr>
        <w:t>věst</w:t>
      </w:r>
      <w:proofErr w:type="spellEnd"/>
      <w:r w:rsidRPr="00D9487C">
        <w:rPr>
          <w:sz w:val="24"/>
          <w:lang w:val="cs-CZ"/>
        </w:rPr>
        <w:t xml:space="preserve">. L 433 I, 22.12.2020, s. 11, ELI: </w:t>
      </w:r>
      <w:r w:rsidR="003943C0">
        <w:fldChar w:fldCharType="begin"/>
      </w:r>
      <w:r w:rsidR="003943C0" w:rsidRPr="003943C0">
        <w:rPr>
          <w:lang w:val="cs-CZ"/>
        </w:rPr>
        <w:instrText>HYPERLINK "http://data.europa.eu/eli/reg/2020/2093/oj"</w:instrText>
      </w:r>
      <w:r w:rsidR="003943C0">
        <w:fldChar w:fldCharType="separate"/>
      </w:r>
      <w:r w:rsidRPr="0068620B">
        <w:rPr>
          <w:rStyle w:val="Hyperlink"/>
          <w:sz w:val="24"/>
          <w:lang w:val="cs-CZ"/>
        </w:rPr>
        <w:t>http://data.europa.eu/eli/reg/2020/2093/oj</w:t>
      </w:r>
      <w:r w:rsidR="003943C0">
        <w:rPr>
          <w:rStyle w:val="Hyperlink"/>
          <w:sz w:val="24"/>
          <w:lang w:val="cs-CZ"/>
        </w:rPr>
        <w:fldChar w:fldCharType="end"/>
      </w:r>
      <w:r w:rsidRPr="0068620B">
        <w:rPr>
          <w:sz w:val="24"/>
          <w:lang w:val="cs-CZ"/>
        </w:rPr>
        <w:t>.</w:t>
      </w:r>
    </w:p>
  </w:footnote>
  <w:footnote w:id="3">
    <w:p w14:paraId="4415D977" w14:textId="12DF4F95" w:rsidR="00C9620A" w:rsidRPr="0068620B" w:rsidRDefault="00C9620A" w:rsidP="0068620B">
      <w:pPr>
        <w:pStyle w:val="FootnoteText"/>
        <w:ind w:left="567" w:hanging="567"/>
        <w:rPr>
          <w:sz w:val="24"/>
          <w:lang w:val="cs-CZ"/>
        </w:rPr>
      </w:pPr>
      <w:r w:rsidRPr="00D9487C">
        <w:rPr>
          <w:rStyle w:val="FootnoteReference"/>
          <w:sz w:val="24"/>
          <w:lang w:val="cs-CZ"/>
        </w:rPr>
        <w:footnoteRef/>
      </w:r>
      <w:r w:rsidR="0068620B" w:rsidRPr="00F90A81">
        <w:rPr>
          <w:sz w:val="24"/>
          <w:shd w:val="clear" w:color="auto" w:fill="FFFFFF"/>
          <w:lang w:val="cs-CZ"/>
        </w:rPr>
        <w:t xml:space="preserve"> </w:t>
      </w:r>
      <w:r w:rsidR="0068620B" w:rsidRPr="00F90A81">
        <w:rPr>
          <w:sz w:val="24"/>
          <w:shd w:val="clear" w:color="auto" w:fill="FFFFFF"/>
          <w:lang w:val="cs-CZ"/>
        </w:rPr>
        <w:tab/>
      </w:r>
      <w:r w:rsidRPr="00F90A81">
        <w:rPr>
          <w:sz w:val="24"/>
          <w:shd w:val="clear" w:color="auto" w:fill="FFFFFF"/>
          <w:lang w:val="cs-CZ"/>
        </w:rPr>
        <w:t>Nařízení Rady (EU, Euratom) 2024/765 ze dne 29. února 2024, kterým se mění nařízení (EU, Euratom) 2020/2093, kterým se stanoví víceletý finanční rámec na období 2021–2027 (</w:t>
      </w:r>
      <w:proofErr w:type="spellStart"/>
      <w:r w:rsidRPr="00D9487C">
        <w:rPr>
          <w:sz w:val="24"/>
          <w:lang w:val="cs-CZ"/>
        </w:rPr>
        <w:t>Úř</w:t>
      </w:r>
      <w:proofErr w:type="spellEnd"/>
      <w:r w:rsidRPr="00D9487C">
        <w:rPr>
          <w:sz w:val="24"/>
          <w:lang w:val="cs-CZ"/>
        </w:rPr>
        <w:t>. </w:t>
      </w:r>
      <w:proofErr w:type="spellStart"/>
      <w:r w:rsidRPr="00D9487C">
        <w:rPr>
          <w:sz w:val="24"/>
          <w:lang w:val="cs-CZ"/>
        </w:rPr>
        <w:t>věst</w:t>
      </w:r>
      <w:proofErr w:type="spellEnd"/>
      <w:r w:rsidRPr="00D9487C">
        <w:rPr>
          <w:sz w:val="24"/>
          <w:lang w:val="cs-CZ"/>
        </w:rPr>
        <w:t xml:space="preserve">. L, 2024/765, 29.2.2024, ELI: </w:t>
      </w:r>
      <w:r w:rsidR="003943C0">
        <w:fldChar w:fldCharType="begin"/>
      </w:r>
      <w:r w:rsidR="003943C0" w:rsidRPr="003943C0">
        <w:rPr>
          <w:lang w:val="fi-FI"/>
        </w:rPr>
        <w:instrText>HYPERLINK "http://data.europa.eu/eli/reg/2024/765/oj"</w:instrText>
      </w:r>
      <w:r w:rsidR="003943C0">
        <w:fldChar w:fldCharType="separate"/>
      </w:r>
      <w:r w:rsidRPr="0068620B">
        <w:rPr>
          <w:rStyle w:val="Hyperlink"/>
          <w:sz w:val="24"/>
          <w:lang w:val="cs-CZ"/>
        </w:rPr>
        <w:t>http://data.europa.eu/eli/reg/2024/765/oj</w:t>
      </w:r>
      <w:r w:rsidR="003943C0">
        <w:rPr>
          <w:rStyle w:val="Hyperlink"/>
          <w:sz w:val="24"/>
          <w:lang w:val="cs-CZ"/>
        </w:rPr>
        <w:fldChar w:fldCharType="end"/>
      </w:r>
      <w:r w:rsidRPr="00DC5F64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>)</w:t>
      </w:r>
      <w:r w:rsidRPr="0068620B">
        <w:rPr>
          <w:rStyle w:val="Emphasis"/>
          <w:color w:val="333333"/>
          <w:sz w:val="24"/>
          <w:shd w:val="clear" w:color="auto" w:fill="FFFFFF"/>
          <w:lang w:val="cs-CZ"/>
        </w:rPr>
        <w:t>.</w:t>
      </w:r>
    </w:p>
  </w:footnote>
  <w:footnote w:id="4">
    <w:p w14:paraId="154488CB" w14:textId="498F9DFB" w:rsidR="00C9620A" w:rsidRPr="0068620B" w:rsidRDefault="00C9620A" w:rsidP="0068620B">
      <w:pPr>
        <w:pStyle w:val="FootnoteText"/>
        <w:ind w:left="567" w:hanging="567"/>
        <w:rPr>
          <w:sz w:val="24"/>
          <w:lang w:val="cs-CZ"/>
        </w:rPr>
      </w:pPr>
      <w:r w:rsidRPr="0068620B">
        <w:rPr>
          <w:rStyle w:val="FootnoteReference"/>
          <w:sz w:val="24"/>
          <w:lang w:val="cs-CZ"/>
        </w:rPr>
        <w:footnoteRef/>
      </w:r>
      <w:r w:rsidR="0068620B" w:rsidRPr="0068620B">
        <w:rPr>
          <w:sz w:val="24"/>
          <w:lang w:val="cs-CZ"/>
        </w:rPr>
        <w:t xml:space="preserve"> </w:t>
      </w:r>
      <w:r w:rsidR="0068620B" w:rsidRPr="0068620B">
        <w:rPr>
          <w:sz w:val="24"/>
          <w:lang w:val="cs-CZ"/>
        </w:rPr>
        <w:tab/>
      </w:r>
      <w:proofErr w:type="spellStart"/>
      <w:r w:rsidRPr="00D9487C">
        <w:rPr>
          <w:sz w:val="24"/>
          <w:lang w:val="cs-CZ"/>
        </w:rPr>
        <w:t>Úř</w:t>
      </w:r>
      <w:proofErr w:type="spellEnd"/>
      <w:r w:rsidRPr="00D9487C">
        <w:rPr>
          <w:sz w:val="24"/>
          <w:lang w:val="cs-CZ"/>
        </w:rPr>
        <w:t xml:space="preserve">. </w:t>
      </w:r>
      <w:proofErr w:type="spellStart"/>
      <w:r w:rsidRPr="00D9487C">
        <w:rPr>
          <w:sz w:val="24"/>
          <w:lang w:val="cs-CZ"/>
        </w:rPr>
        <w:t>věst</w:t>
      </w:r>
      <w:proofErr w:type="spellEnd"/>
      <w:r w:rsidRPr="00D9487C">
        <w:rPr>
          <w:sz w:val="24"/>
          <w:lang w:val="cs-CZ"/>
        </w:rPr>
        <w:t xml:space="preserve">. L 433 I, 22.12.2020, s. 28, ELI: </w:t>
      </w:r>
      <w:r w:rsidR="003943C0">
        <w:fldChar w:fldCharType="begin"/>
      </w:r>
      <w:r w:rsidR="003943C0" w:rsidRPr="003943C0">
        <w:rPr>
          <w:lang w:val="fi-FI"/>
        </w:rPr>
        <w:instrText>HYPERLINK "http://data.europa.eu/eli/agree_interinstit/2020/1222/oj"</w:instrText>
      </w:r>
      <w:r w:rsidR="003943C0">
        <w:fldChar w:fldCharType="separate"/>
      </w:r>
      <w:r w:rsidRPr="0068620B">
        <w:rPr>
          <w:rStyle w:val="Hyperlink"/>
          <w:sz w:val="24"/>
          <w:lang w:val="cs-CZ"/>
        </w:rPr>
        <w:t>http://data.europa.eu/eli/agree_interinstit/2020/1222/oj</w:t>
      </w:r>
      <w:r w:rsidR="003943C0">
        <w:rPr>
          <w:rStyle w:val="Hyperlink"/>
          <w:sz w:val="24"/>
          <w:lang w:val="cs-CZ"/>
        </w:rPr>
        <w:fldChar w:fldCharType="end"/>
      </w:r>
      <w:r w:rsidRPr="0068620B">
        <w:rPr>
          <w:sz w:val="24"/>
          <w:lang w:val="cs-CZ"/>
        </w:rPr>
        <w:t>.</w:t>
      </w:r>
    </w:p>
  </w:footnote>
  <w:footnote w:id="5">
    <w:p w14:paraId="01409011" w14:textId="65A6F8A0" w:rsidR="00C9620A" w:rsidRPr="0068620B" w:rsidRDefault="00C9620A" w:rsidP="0068620B">
      <w:pPr>
        <w:pStyle w:val="FootnoteText"/>
        <w:ind w:left="567" w:hanging="567"/>
        <w:rPr>
          <w:sz w:val="24"/>
          <w:lang w:val="cs-CZ"/>
        </w:rPr>
      </w:pPr>
      <w:r w:rsidRPr="0068620B">
        <w:rPr>
          <w:rStyle w:val="FootnoteReference"/>
          <w:sz w:val="24"/>
          <w:lang w:val="cs-CZ"/>
        </w:rPr>
        <w:footnoteRef/>
      </w:r>
      <w:r w:rsidR="0068620B" w:rsidRPr="0068620B">
        <w:rPr>
          <w:sz w:val="24"/>
          <w:lang w:val="cs-CZ"/>
        </w:rPr>
        <w:t xml:space="preserve"> </w:t>
      </w:r>
      <w:r w:rsidR="0068620B" w:rsidRPr="0068620B">
        <w:rPr>
          <w:sz w:val="24"/>
          <w:lang w:val="cs-CZ"/>
        </w:rPr>
        <w:tab/>
      </w:r>
      <w:r w:rsidRPr="0068620B">
        <w:rPr>
          <w:sz w:val="24"/>
          <w:lang w:val="cs-CZ"/>
        </w:rPr>
        <w:t>Ve smyslu článku 3 nařízení o EFG.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7F6A3" w14:textId="77777777" w:rsidR="00064002" w:rsidRPr="006862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5308" w14:textId="77777777" w:rsidR="00064002" w:rsidRPr="006862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56E5" w14:textId="77777777" w:rsidR="00064002" w:rsidRPr="006862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7278401">
    <w:abstractNumId w:val="9"/>
  </w:num>
  <w:num w:numId="2" w16cid:durableId="100346051">
    <w:abstractNumId w:val="9"/>
  </w:num>
  <w:num w:numId="3" w16cid:durableId="1626041041">
    <w:abstractNumId w:val="7"/>
  </w:num>
  <w:num w:numId="4" w16cid:durableId="1405643184">
    <w:abstractNumId w:val="7"/>
  </w:num>
  <w:num w:numId="5" w16cid:durableId="1737165225">
    <w:abstractNumId w:val="6"/>
  </w:num>
  <w:num w:numId="6" w16cid:durableId="1386949514">
    <w:abstractNumId w:val="6"/>
  </w:num>
  <w:num w:numId="7" w16cid:durableId="1816951788">
    <w:abstractNumId w:val="5"/>
  </w:num>
  <w:num w:numId="8" w16cid:durableId="1300457359">
    <w:abstractNumId w:val="5"/>
  </w:num>
  <w:num w:numId="9" w16cid:durableId="1224675538">
    <w:abstractNumId w:val="4"/>
  </w:num>
  <w:num w:numId="10" w16cid:durableId="2131703432">
    <w:abstractNumId w:val="4"/>
  </w:num>
  <w:num w:numId="11" w16cid:durableId="345331724">
    <w:abstractNumId w:val="8"/>
  </w:num>
  <w:num w:numId="12" w16cid:durableId="397940382">
    <w:abstractNumId w:val="8"/>
  </w:num>
  <w:num w:numId="13" w16cid:durableId="748305424">
    <w:abstractNumId w:val="3"/>
  </w:num>
  <w:num w:numId="14" w16cid:durableId="735397877">
    <w:abstractNumId w:val="3"/>
  </w:num>
  <w:num w:numId="15" w16cid:durableId="1017120838">
    <w:abstractNumId w:val="2"/>
  </w:num>
  <w:num w:numId="16" w16cid:durableId="151877435">
    <w:abstractNumId w:val="2"/>
  </w:num>
  <w:num w:numId="17" w16cid:durableId="1500543180">
    <w:abstractNumId w:val="1"/>
  </w:num>
  <w:num w:numId="18" w16cid:durableId="1072698809">
    <w:abstractNumId w:val="1"/>
  </w:num>
  <w:num w:numId="19" w16cid:durableId="653946310">
    <w:abstractNumId w:val="0"/>
  </w:num>
  <w:num w:numId="20" w16cid:durableId="30808046">
    <w:abstractNumId w:val="0"/>
  </w:num>
  <w:num w:numId="21" w16cid:durableId="1227686337">
    <w:abstractNumId w:val="9"/>
  </w:num>
  <w:num w:numId="22" w16cid:durableId="74326414">
    <w:abstractNumId w:val="7"/>
  </w:num>
  <w:num w:numId="23" w16cid:durableId="432092549">
    <w:abstractNumId w:val="6"/>
  </w:num>
  <w:num w:numId="24" w16cid:durableId="589194990">
    <w:abstractNumId w:val="5"/>
  </w:num>
  <w:num w:numId="25" w16cid:durableId="410977103">
    <w:abstractNumId w:val="4"/>
  </w:num>
  <w:num w:numId="26" w16cid:durableId="294483547">
    <w:abstractNumId w:val="8"/>
  </w:num>
  <w:num w:numId="27" w16cid:durableId="161164103">
    <w:abstractNumId w:val="3"/>
  </w:num>
  <w:num w:numId="28" w16cid:durableId="1378822607">
    <w:abstractNumId w:val="2"/>
  </w:num>
  <w:num w:numId="29" w16cid:durableId="2091270884">
    <w:abstractNumId w:val="1"/>
  </w:num>
  <w:num w:numId="30" w16cid:durableId="1130633081">
    <w:abstractNumId w:val="0"/>
  </w:num>
  <w:num w:numId="31" w16cid:durableId="1131284381">
    <w:abstractNumId w:val="9"/>
  </w:num>
  <w:num w:numId="32" w16cid:durableId="40331250">
    <w:abstractNumId w:val="7"/>
  </w:num>
  <w:num w:numId="33" w16cid:durableId="578711970">
    <w:abstractNumId w:val="6"/>
  </w:num>
  <w:num w:numId="34" w16cid:durableId="1077167586">
    <w:abstractNumId w:val="5"/>
  </w:num>
  <w:num w:numId="35" w16cid:durableId="119498223">
    <w:abstractNumId w:val="4"/>
  </w:num>
  <w:num w:numId="36" w16cid:durableId="1970016920">
    <w:abstractNumId w:val="8"/>
  </w:num>
  <w:num w:numId="37" w16cid:durableId="244412510">
    <w:abstractNumId w:val="3"/>
  </w:num>
  <w:num w:numId="38" w16cid:durableId="1527593916">
    <w:abstractNumId w:val="2"/>
  </w:num>
  <w:num w:numId="39" w16cid:durableId="1730155920">
    <w:abstractNumId w:val="1"/>
  </w:num>
  <w:num w:numId="40" w16cid:durableId="1871262773">
    <w:abstractNumId w:val="0"/>
  </w:num>
  <w:num w:numId="41" w16cid:durableId="1653020241">
    <w:abstractNumId w:val="10"/>
  </w:num>
  <w:num w:numId="42" w16cid:durableId="1200121896">
    <w:abstractNumId w:val="10"/>
  </w:num>
  <w:num w:numId="43" w16cid:durableId="183793196">
    <w:abstractNumId w:val="10"/>
  </w:num>
  <w:num w:numId="44" w16cid:durableId="16793134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8/2025"/>
    <w:docVar w:name="dvlangue" w:val="CS"/>
    <w:docVar w:name="dvnumam" w:val="0"/>
    <w:docVar w:name="dvpe" w:val="776.828"/>
    <w:docVar w:name="dvrapporteur" w:val="Zpravodaj: "/>
    <w:docVar w:name="dvtitre" w:val="Usnesení Evropského parlamentu ze dne 8. října 2025 o návrhu rozhodnutí Evropského parlamentu a Rady o uvolnění prostředků z Evropského fondu pro přizpůsobení se globalizaci na pomoc propuštěným pracovníkům na základě žádosti Německo – EGF/2025/002 DE/Goodyear 2(COM(2025)0302 – C10-0182/2025 – 2025/0245(BUD))"/>
  </w:docVars>
  <w:rsids>
    <w:rsidRoot w:val="00D83CE7"/>
    <w:rsid w:val="00002272"/>
    <w:rsid w:val="000105AF"/>
    <w:rsid w:val="00064002"/>
    <w:rsid w:val="000677B9"/>
    <w:rsid w:val="00072B7E"/>
    <w:rsid w:val="000831BA"/>
    <w:rsid w:val="000A42CC"/>
    <w:rsid w:val="000E7DD9"/>
    <w:rsid w:val="0010095E"/>
    <w:rsid w:val="00125B37"/>
    <w:rsid w:val="001278A5"/>
    <w:rsid w:val="00187494"/>
    <w:rsid w:val="001F32AE"/>
    <w:rsid w:val="002767FF"/>
    <w:rsid w:val="002B18FE"/>
    <w:rsid w:val="002B5493"/>
    <w:rsid w:val="002F6302"/>
    <w:rsid w:val="00311F13"/>
    <w:rsid w:val="00343214"/>
    <w:rsid w:val="00361C00"/>
    <w:rsid w:val="003852FF"/>
    <w:rsid w:val="003943C0"/>
    <w:rsid w:val="00395FA1"/>
    <w:rsid w:val="003E15D4"/>
    <w:rsid w:val="003E523B"/>
    <w:rsid w:val="00411CCE"/>
    <w:rsid w:val="00415C20"/>
    <w:rsid w:val="0041666E"/>
    <w:rsid w:val="00421060"/>
    <w:rsid w:val="004466AE"/>
    <w:rsid w:val="00461B2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736"/>
    <w:rsid w:val="005C2568"/>
    <w:rsid w:val="005F1B17"/>
    <w:rsid w:val="005F3839"/>
    <w:rsid w:val="006037C0"/>
    <w:rsid w:val="00605203"/>
    <w:rsid w:val="006631B6"/>
    <w:rsid w:val="0067408E"/>
    <w:rsid w:val="00680577"/>
    <w:rsid w:val="0068620B"/>
    <w:rsid w:val="006E77D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111"/>
    <w:rsid w:val="00930C23"/>
    <w:rsid w:val="0093193B"/>
    <w:rsid w:val="0094696E"/>
    <w:rsid w:val="009509D8"/>
    <w:rsid w:val="00950B64"/>
    <w:rsid w:val="00981893"/>
    <w:rsid w:val="009B38BF"/>
    <w:rsid w:val="00A03AB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20A"/>
    <w:rsid w:val="00CC2357"/>
    <w:rsid w:val="00CF071A"/>
    <w:rsid w:val="00D058B8"/>
    <w:rsid w:val="00D56C11"/>
    <w:rsid w:val="00D648EB"/>
    <w:rsid w:val="00D834A0"/>
    <w:rsid w:val="00D83CE7"/>
    <w:rsid w:val="00D872DF"/>
    <w:rsid w:val="00D91E21"/>
    <w:rsid w:val="00D9487C"/>
    <w:rsid w:val="00DA7FCD"/>
    <w:rsid w:val="00DC5F64"/>
    <w:rsid w:val="00E365E1"/>
    <w:rsid w:val="00E75425"/>
    <w:rsid w:val="00E820A4"/>
    <w:rsid w:val="00EB006A"/>
    <w:rsid w:val="00EB4772"/>
    <w:rsid w:val="00ED169E"/>
    <w:rsid w:val="00ED4235"/>
    <w:rsid w:val="00EF2EBC"/>
    <w:rsid w:val="00F04346"/>
    <w:rsid w:val="00F075DC"/>
    <w:rsid w:val="00F149E9"/>
    <w:rsid w:val="00F5134D"/>
    <w:rsid w:val="00F74202"/>
    <w:rsid w:val="00F876C7"/>
    <w:rsid w:val="00F87713"/>
    <w:rsid w:val="00F90A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5BBFE"/>
  <w15:chartTrackingRefBased/>
  <w15:docId w15:val="{A4F93332-71AB-4B4B-8F9D-61086002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962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C962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9620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962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620A"/>
    <w:rPr>
      <w:sz w:val="24"/>
      <w:lang w:val="cs-CZ"/>
    </w:rPr>
  </w:style>
  <w:style w:type="paragraph" w:customStyle="1" w:styleId="NormalBold24a">
    <w:name w:val="NormalBold24a"/>
    <w:basedOn w:val="Normal"/>
    <w:rsid w:val="00C9620A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C962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9620A"/>
    <w:pPr>
      <w:spacing w:before="480" w:after="240"/>
    </w:pPr>
  </w:style>
  <w:style w:type="character" w:styleId="Hyperlink">
    <w:name w:val="Hyperlink"/>
    <w:basedOn w:val="DefaultParagraphFont"/>
    <w:uiPriority w:val="99"/>
    <w:rsid w:val="00C9620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9620A"/>
    <w:rPr>
      <w:sz w:val="24"/>
      <w:lang w:val="cs-CZ"/>
    </w:rPr>
  </w:style>
  <w:style w:type="character" w:styleId="Emphasis">
    <w:name w:val="Emphasis"/>
    <w:basedOn w:val="DefaultParagraphFont"/>
    <w:uiPriority w:val="20"/>
    <w:qFormat/>
    <w:rsid w:val="00C9620A"/>
    <w:rPr>
      <w:i/>
      <w:iCs/>
    </w:rPr>
  </w:style>
  <w:style w:type="paragraph" w:customStyle="1" w:styleId="Institutionquisigne">
    <w:name w:val="Institution qui signe"/>
    <w:basedOn w:val="Normal"/>
    <w:next w:val="Normal"/>
    <w:rsid w:val="00C9620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9620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9620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9620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9620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9620A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C9620A"/>
    <w:rPr>
      <w:rFonts w:ascii="Arial" w:hAnsi="Arial" w:cs="Arial"/>
      <w:b/>
      <w:sz w:val="24"/>
      <w:lang w:val="cs-CZ"/>
    </w:rPr>
  </w:style>
  <w:style w:type="paragraph" w:customStyle="1" w:styleId="Personnequisigne">
    <w:name w:val="Personne qui signe"/>
    <w:basedOn w:val="Normal"/>
    <w:next w:val="Institutionquisigne"/>
    <w:rsid w:val="00C9620A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F876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876C7"/>
    <w:rPr>
      <w:sz w:val="24"/>
      <w:lang w:val="cs-CZ"/>
    </w:rPr>
  </w:style>
  <w:style w:type="paragraph" w:styleId="Revision">
    <w:name w:val="Revision"/>
    <w:hidden/>
    <w:uiPriority w:val="99"/>
    <w:semiHidden/>
    <w:rsid w:val="00F876C7"/>
    <w:rPr>
      <w:sz w:val="24"/>
      <w:lang w:val="cs-CZ"/>
    </w:rPr>
  </w:style>
  <w:style w:type="character" w:styleId="CommentReference">
    <w:name w:val="annotation reference"/>
    <w:basedOn w:val="DefaultParagraphFont"/>
    <w:rsid w:val="00E754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542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542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754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5425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1608</Words>
  <Characters>9438</Characters>
  <Application>Microsoft Office Word</Application>
  <DocSecurity>0</DocSecurity>
  <Lines>393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2025-12-15T09:26:00Z</dcterms:created>
  <dcterms:modified xsi:type="dcterms:W3CDTF">2025-12-15T09:26:00Z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P10_TA(2025)0219_</vt:lpwstr>
  </property>
  <property fmtid="{D5CDD505-2E9C-101B-9397-08002B2CF9AE}" pid="4" name="&lt;Type&gt;">
    <vt:lpwstr>RR</vt:lpwstr>
  </property>
</Properties>
</file>