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302" w14:paraId="384F517A" w14:textId="77777777" w:rsidTr="0010095E">
        <w:trPr>
          <w:trHeight w:hRule="exact" w:val="1418"/>
        </w:trPr>
        <w:tc>
          <w:tcPr>
            <w:tcW w:w="6804" w:type="dxa"/>
            <w:shd w:val="clear" w:color="auto" w:fill="auto"/>
            <w:vAlign w:val="center"/>
          </w:tcPr>
          <w:p w14:paraId="6F079BF5" w14:textId="77777777" w:rsidR="00751A4A" w:rsidRPr="00037302" w:rsidRDefault="00960B8F" w:rsidP="0010095E">
            <w:pPr>
              <w:pStyle w:val="EPName"/>
            </w:pPr>
            <w:r w:rsidRPr="00037302">
              <w:t>Europa-Parlamentet</w:t>
            </w:r>
          </w:p>
          <w:p w14:paraId="11F6F86C" w14:textId="77777777" w:rsidR="00751A4A" w:rsidRPr="00037302" w:rsidRDefault="005F1B17" w:rsidP="005F1B17">
            <w:pPr>
              <w:pStyle w:val="EPTerm"/>
              <w:rPr>
                <w:rStyle w:val="HideTWBExt"/>
                <w:noProof w:val="0"/>
                <w:vanish w:val="0"/>
                <w:color w:val="auto"/>
              </w:rPr>
            </w:pPr>
            <w:r w:rsidRPr="00037302">
              <w:t>2024</w:t>
            </w:r>
            <w:r w:rsidR="00817416" w:rsidRPr="00037302">
              <w:t>-202</w:t>
            </w:r>
            <w:r w:rsidRPr="00037302">
              <w:t>9</w:t>
            </w:r>
          </w:p>
        </w:tc>
        <w:tc>
          <w:tcPr>
            <w:tcW w:w="2268" w:type="dxa"/>
            <w:shd w:val="clear" w:color="auto" w:fill="auto"/>
          </w:tcPr>
          <w:p w14:paraId="4AA508CC" w14:textId="77777777" w:rsidR="00751A4A" w:rsidRPr="00037302" w:rsidRDefault="00187494" w:rsidP="0010095E">
            <w:pPr>
              <w:pStyle w:val="EPLogo"/>
            </w:pPr>
            <w:r w:rsidRPr="00037302">
              <w:rPr>
                <w:noProof/>
                <w:lang w:val="en-GB"/>
              </w:rPr>
              <w:drawing>
                <wp:inline distT="0" distB="0" distL="0" distR="0" wp14:anchorId="54537D43" wp14:editId="21F948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F58737" w14:textId="77777777" w:rsidR="00D058B8" w:rsidRPr="00037302" w:rsidRDefault="00D058B8" w:rsidP="004C5D52">
      <w:pPr>
        <w:pStyle w:val="LineTop"/>
      </w:pPr>
    </w:p>
    <w:p w14:paraId="47513746" w14:textId="77777777" w:rsidR="00680577" w:rsidRPr="00037302" w:rsidRDefault="00960B8F" w:rsidP="00680577">
      <w:pPr>
        <w:pStyle w:val="EPBodyTA1"/>
      </w:pPr>
      <w:r w:rsidRPr="00037302">
        <w:t>VEDTAGNE TEKSTER</w:t>
      </w:r>
    </w:p>
    <w:p w14:paraId="11C260A8" w14:textId="77777777" w:rsidR="00D058B8" w:rsidRPr="00037302" w:rsidRDefault="00D058B8" w:rsidP="00D058B8">
      <w:pPr>
        <w:pStyle w:val="LineBottom"/>
      </w:pPr>
    </w:p>
    <w:p w14:paraId="6902D9E8" w14:textId="26A370B9" w:rsidR="00960B8F" w:rsidRPr="000D780F" w:rsidRDefault="00960B8F" w:rsidP="00960B8F">
      <w:pPr>
        <w:pStyle w:val="ATHeading1"/>
      </w:pPr>
      <w:bookmarkStart w:id="0" w:name="TANumber"/>
      <w:r w:rsidRPr="000D780F">
        <w:t>P10_TA(2025)0</w:t>
      </w:r>
      <w:r w:rsidR="00986B71">
        <w:t>219</w:t>
      </w:r>
      <w:bookmarkEnd w:id="0"/>
    </w:p>
    <w:p w14:paraId="2D6E810F" w14:textId="0FA95DCE" w:rsidR="00960B8F" w:rsidRPr="000D780F" w:rsidRDefault="003208AD" w:rsidP="00960B8F">
      <w:pPr>
        <w:pStyle w:val="ATHeading2"/>
      </w:pPr>
      <w:bookmarkStart w:id="1" w:name="title"/>
      <w:r w:rsidRPr="000D780F">
        <w:t>M</w:t>
      </w:r>
      <w:r w:rsidR="00960B8F" w:rsidRPr="000D780F">
        <w:t xml:space="preserve">obilisering af Den Europæiske Fond for </w:t>
      </w:r>
      <w:bookmarkEnd w:id="1"/>
      <w:r w:rsidRPr="000D780F">
        <w:t xml:space="preserve">Tilpasning til Globaliseringen for Afskedigede Arbejdstagere på baggrund af en ansøgning fra Tyskland – EGF/2025/002 DE/Goodyear 2 </w:t>
      </w:r>
    </w:p>
    <w:p w14:paraId="0359E5E2" w14:textId="77777777" w:rsidR="00960B8F" w:rsidRPr="00037302" w:rsidRDefault="00960B8F" w:rsidP="00960B8F">
      <w:pPr>
        <w:rPr>
          <w:i/>
          <w:vanish/>
        </w:rPr>
      </w:pPr>
      <w:r w:rsidRPr="00037302">
        <w:rPr>
          <w:i/>
        </w:rPr>
        <w:fldChar w:fldCharType="begin"/>
      </w:r>
      <w:r w:rsidRPr="00037302">
        <w:rPr>
          <w:i/>
        </w:rPr>
        <w:instrText xml:space="preserve"> TC"(</w:instrText>
      </w:r>
      <w:bookmarkStart w:id="2" w:name="DocNumber"/>
      <w:r w:rsidRPr="00037302">
        <w:rPr>
          <w:i/>
        </w:rPr>
        <w:instrText>A10-0168/2025</w:instrText>
      </w:r>
      <w:bookmarkEnd w:id="2"/>
      <w:r w:rsidRPr="00037302">
        <w:rPr>
          <w:i/>
        </w:rPr>
        <w:instrText xml:space="preserve"> - Ordfører: Olivier Chastel)"\l3 \n&gt; \* MERGEFORMAT </w:instrText>
      </w:r>
      <w:r w:rsidRPr="00037302">
        <w:rPr>
          <w:i/>
        </w:rPr>
        <w:fldChar w:fldCharType="end"/>
      </w:r>
    </w:p>
    <w:p w14:paraId="2AD4C2E1" w14:textId="77777777" w:rsidR="00960B8F" w:rsidRPr="00037302" w:rsidRDefault="00960B8F" w:rsidP="00960B8F">
      <w:pPr>
        <w:rPr>
          <w:vanish/>
        </w:rPr>
      </w:pPr>
      <w:bookmarkStart w:id="3" w:name="Commission"/>
      <w:r w:rsidRPr="00037302">
        <w:rPr>
          <w:vanish/>
        </w:rPr>
        <w:t>Budgetudvalget</w:t>
      </w:r>
      <w:bookmarkEnd w:id="3"/>
    </w:p>
    <w:p w14:paraId="3F44F8EC" w14:textId="77777777" w:rsidR="00960B8F" w:rsidRPr="00037302" w:rsidRDefault="00960B8F" w:rsidP="00960B8F">
      <w:pPr>
        <w:rPr>
          <w:vanish/>
        </w:rPr>
      </w:pPr>
      <w:bookmarkStart w:id="4" w:name="PE"/>
      <w:r w:rsidRPr="00037302">
        <w:rPr>
          <w:vanish/>
        </w:rPr>
        <w:t>PE776.828</w:t>
      </w:r>
      <w:bookmarkEnd w:id="4"/>
    </w:p>
    <w:p w14:paraId="540E3EA4" w14:textId="3B28F2EC" w:rsidR="00960B8F" w:rsidRPr="000D780F" w:rsidRDefault="00960B8F" w:rsidP="00960B8F">
      <w:pPr>
        <w:pStyle w:val="ATHeading3"/>
      </w:pPr>
      <w:bookmarkStart w:id="5" w:name="Sujet"/>
      <w:r w:rsidRPr="000D780F">
        <w:t xml:space="preserve">Europa-Parlamentets beslutning af </w:t>
      </w:r>
      <w:r w:rsidR="003208AD" w:rsidRPr="000D780F">
        <w:t>8</w:t>
      </w:r>
      <w:r w:rsidRPr="000D780F">
        <w:t>. oktober 2025 om forslag til Europa-Parlamentets og Rådets afgørelse om mobilisering af Den Europæiske Fond for Tilpasning til Globaliseringen for Afskedigede Arbejdstagere på baggrund af en ansøgning fra Tyskland – EGF/2025/002 DE/Goodyear 2</w:t>
      </w:r>
      <w:bookmarkEnd w:id="5"/>
      <w:r w:rsidRPr="000D780F">
        <w:t xml:space="preserve"> </w:t>
      </w:r>
      <w:bookmarkStart w:id="6" w:name="References"/>
      <w:r w:rsidRPr="000D780F">
        <w:t>(</w:t>
      </w:r>
      <w:proofErr w:type="gramStart"/>
      <w:r w:rsidRPr="000D780F">
        <w:t>COM(</w:t>
      </w:r>
      <w:proofErr w:type="gramEnd"/>
      <w:r w:rsidRPr="000D780F">
        <w:t>2025)0302 – C10-0182/2025 – 2025/0245(BUD))</w:t>
      </w:r>
      <w:bookmarkEnd w:id="6"/>
    </w:p>
    <w:p w14:paraId="5250B523" w14:textId="77777777" w:rsidR="0002681C" w:rsidRPr="00037302" w:rsidRDefault="0002681C" w:rsidP="0002681C">
      <w:pPr>
        <w:pStyle w:val="EPComma"/>
        <w:rPr>
          <w:noProof/>
        </w:rPr>
      </w:pPr>
      <w:r w:rsidRPr="00037302">
        <w:rPr>
          <w:i/>
        </w:rPr>
        <w:t>Europa-Parlamentet</w:t>
      </w:r>
      <w:r w:rsidRPr="00037302">
        <w:t>,</w:t>
      </w:r>
    </w:p>
    <w:p w14:paraId="7D41D9ED" w14:textId="77777777" w:rsidR="0002681C" w:rsidRPr="00037302" w:rsidRDefault="0002681C" w:rsidP="0002681C">
      <w:pPr>
        <w:pStyle w:val="NormalHanging12a"/>
        <w:rPr>
          <w:noProof/>
        </w:rPr>
      </w:pPr>
      <w:r w:rsidRPr="00037302">
        <w:t>–</w:t>
      </w:r>
      <w:r w:rsidRPr="00037302">
        <w:tab/>
        <w:t>der henviser til Kommissionens forslag til Europa-Parlamentet og Rådet (</w:t>
      </w:r>
      <w:proofErr w:type="gramStart"/>
      <w:r w:rsidRPr="00037302">
        <w:t>COM(</w:t>
      </w:r>
      <w:proofErr w:type="gramEnd"/>
      <w:r w:rsidRPr="00037302">
        <w:t>2025)0302 – C10-0182/2025),</w:t>
      </w:r>
    </w:p>
    <w:p w14:paraId="6252649D" w14:textId="77777777" w:rsidR="0002681C" w:rsidRPr="00037302" w:rsidRDefault="0002681C" w:rsidP="0002681C">
      <w:pPr>
        <w:pStyle w:val="NormalHanging12a"/>
        <w:rPr>
          <w:noProof/>
        </w:rPr>
      </w:pPr>
      <w:r w:rsidRPr="00037302">
        <w:t>–</w:t>
      </w:r>
      <w:r w:rsidRPr="00037302">
        <w:tab/>
        <w:t>der henviser til Europa-Parlamentets og Rådets forordning (EU) 2021/691 af 28. april 2021 om Den Europæiske Fond for Tilpasning til Globaliseringen for Afskedigede Arbejdstagere (EGF) og om ophævelse af forordning (EU) nr. 1309/2013</w:t>
      </w:r>
      <w:r w:rsidRPr="00037302">
        <w:rPr>
          <w:rStyle w:val="FootnoteReference"/>
          <w:noProof/>
        </w:rPr>
        <w:footnoteReference w:id="1"/>
      </w:r>
      <w:r w:rsidRPr="00037302">
        <w:t xml:space="preserve"> ("EGF-forordningen"),</w:t>
      </w:r>
    </w:p>
    <w:p w14:paraId="0DEABD45" w14:textId="77777777" w:rsidR="0002681C" w:rsidRPr="00037302" w:rsidRDefault="0002681C" w:rsidP="0002681C">
      <w:pPr>
        <w:pStyle w:val="NormalHanging12a"/>
        <w:rPr>
          <w:noProof/>
        </w:rPr>
      </w:pPr>
      <w:r w:rsidRPr="00037302">
        <w:t>–</w:t>
      </w:r>
      <w:r w:rsidRPr="00037302">
        <w:tab/>
        <w:t xml:space="preserve">der henviser til Rådets forordning (EU, </w:t>
      </w:r>
      <w:proofErr w:type="spellStart"/>
      <w:r w:rsidRPr="00037302">
        <w:t>Euratom</w:t>
      </w:r>
      <w:proofErr w:type="spellEnd"/>
      <w:r w:rsidRPr="00037302">
        <w:t>) 2020/2093 af 17. december 2020 om fastlæggelse af den flerårige finansielle ramme for årene 2021-2027</w:t>
      </w:r>
      <w:r w:rsidRPr="00037302">
        <w:rPr>
          <w:rStyle w:val="FootnoteReference"/>
          <w:noProof/>
        </w:rPr>
        <w:footnoteReference w:id="2"/>
      </w:r>
      <w:r w:rsidRPr="00037302">
        <w:t xml:space="preserve"> som ændret ved forordning (EU, </w:t>
      </w:r>
      <w:proofErr w:type="spellStart"/>
      <w:r w:rsidRPr="00037302">
        <w:t>Euratom</w:t>
      </w:r>
      <w:proofErr w:type="spellEnd"/>
      <w:r w:rsidRPr="00037302">
        <w:t>) 2024/765</w:t>
      </w:r>
      <w:r w:rsidRPr="00037302">
        <w:rPr>
          <w:rStyle w:val="FootnoteReference"/>
          <w:bdr w:val="none" w:sz="0" w:space="0" w:color="auto" w:frame="1"/>
        </w:rPr>
        <w:footnoteReference w:id="3"/>
      </w:r>
      <w:r w:rsidRPr="00037302">
        <w:t>, særlig artikel 8,</w:t>
      </w:r>
    </w:p>
    <w:p w14:paraId="016BB891" w14:textId="77777777" w:rsidR="0002681C" w:rsidRPr="00037302" w:rsidRDefault="0002681C" w:rsidP="0002681C">
      <w:pPr>
        <w:pStyle w:val="NormalHanging12a"/>
        <w:rPr>
          <w:noProof/>
        </w:rPr>
      </w:pPr>
      <w:r w:rsidRPr="00037302">
        <w:t>–</w:t>
      </w:r>
      <w:r w:rsidRPr="00037302">
        <w:tab/>
        <w:t xml:space="preserve">der henviser til den </w:t>
      </w:r>
      <w:proofErr w:type="spellStart"/>
      <w:r w:rsidRPr="00037302">
        <w:t>interinstitutionelle</w:t>
      </w:r>
      <w:proofErr w:type="spellEnd"/>
      <w:r w:rsidRPr="00037302">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037302">
        <w:lastRenderedPageBreak/>
        <w:t>nye egne indtægter</w:t>
      </w:r>
      <w:r w:rsidRPr="00037302">
        <w:rPr>
          <w:rStyle w:val="FootnoteReference"/>
          <w:noProof/>
        </w:rPr>
        <w:footnoteReference w:id="4"/>
      </w:r>
      <w:r w:rsidRPr="00037302">
        <w:t>, særlig punkt 9,</w:t>
      </w:r>
    </w:p>
    <w:p w14:paraId="1C944481" w14:textId="77777777" w:rsidR="0002681C" w:rsidRPr="00037302" w:rsidRDefault="0002681C" w:rsidP="0002681C">
      <w:pPr>
        <w:pStyle w:val="NormalHanging12a"/>
        <w:rPr>
          <w:noProof/>
        </w:rPr>
      </w:pPr>
      <w:r w:rsidRPr="00037302">
        <w:t>–</w:t>
      </w:r>
      <w:r w:rsidRPr="00037302">
        <w:tab/>
        <w:t>der henviser til skrivelse fra Udvalget om Beskæftigelse og Sociale Anliggender,</w:t>
      </w:r>
    </w:p>
    <w:p w14:paraId="7F14DAAF" w14:textId="77777777" w:rsidR="0002681C" w:rsidRPr="00037302" w:rsidRDefault="0002681C" w:rsidP="0002681C">
      <w:pPr>
        <w:pStyle w:val="NormalHanging12a"/>
      </w:pPr>
      <w:r w:rsidRPr="00037302">
        <w:t>–</w:t>
      </w:r>
      <w:r w:rsidRPr="00037302">
        <w:tab/>
        <w:t xml:space="preserve">der henviser til betænkning fra Budgetudvalget (A10-0168/2025), </w:t>
      </w:r>
    </w:p>
    <w:p w14:paraId="5E165E66" w14:textId="77777777" w:rsidR="0002681C" w:rsidRPr="00037302" w:rsidRDefault="0002681C" w:rsidP="0002681C">
      <w:pPr>
        <w:pStyle w:val="NormalHanging12a"/>
        <w:rPr>
          <w:noProof/>
        </w:rPr>
      </w:pPr>
      <w:r w:rsidRPr="00037302">
        <w:t>A.</w:t>
      </w:r>
      <w:r w:rsidRPr="00037302">
        <w:tab/>
        <w:t>der henviser til, at Unionen har oprettet lovgivnings- og budgetinstrumenter, der skal yde supplerende støtte til arbejdstagere, som er ramt af konsekvenserne af gennemgribende strukturelle ændringer i verdenshandelsmønstrene eller den globale finansielle og økonomiske krise, og hjælpe dem med at vende tilbage til arbejdsmarkedet; der henviser til, at denne bistand ydes gennem økonomisk støtte til arbejdstagere og de virksomheder, som de har arbejdet for;</w:t>
      </w:r>
    </w:p>
    <w:p w14:paraId="1B306A2A" w14:textId="77777777" w:rsidR="0002681C" w:rsidRPr="00037302" w:rsidRDefault="0002681C" w:rsidP="0002681C">
      <w:pPr>
        <w:pStyle w:val="NormalHanging12a"/>
      </w:pPr>
      <w:r w:rsidRPr="00037302">
        <w:t xml:space="preserve">B. </w:t>
      </w:r>
      <w:r w:rsidRPr="00037302">
        <w:tab/>
        <w:t>der henviser til, at Tyskland indgav ansøgning EGF/2025/002 DE/Goodyear 2 om økonomisk støtte fra Den Europæiske Fond for Tilpasning til Globaliseringen (EGF) efter 1 171 afskedigelser</w:t>
      </w:r>
      <w:r w:rsidRPr="00037302">
        <w:rPr>
          <w:rStyle w:val="FootnoteReference"/>
        </w:rPr>
        <w:footnoteReference w:id="5"/>
      </w:r>
      <w:r w:rsidRPr="00037302">
        <w:t xml:space="preserve"> i den økonomiske sektor, der er klassificeret under NACE rev. 2, hovedgruppe 22 (Fremstilling af gummi- og plastprodukter), i regionen Kassel (DE73) og Darmstadt (DE71) med 747 afskedigelser inden for en referenceperiode for ansøgningen fra den 1. september 2024 til den 1. januar 2025 og 424 afskedigelser før eller efter referenceperioden; </w:t>
      </w:r>
    </w:p>
    <w:p w14:paraId="2B659172" w14:textId="77777777" w:rsidR="0002681C" w:rsidRPr="00037302" w:rsidRDefault="0002681C" w:rsidP="0002681C">
      <w:pPr>
        <w:pStyle w:val="NormalHanging12a"/>
      </w:pPr>
      <w:r w:rsidRPr="00037302">
        <w:t>C.</w:t>
      </w:r>
      <w:r w:rsidRPr="00037302">
        <w:tab/>
        <w:t>der henviser til, at for så vidt angår de 424 afskedigede arbejdstagere, hvis aktivitet ophørte før eller efter referenceperioden på fire måneder, kan der fastslås en klar årsagssammenhæng med den begivenhed, som udløste ophøret af de afskedigede arbejdstageres aktivitet i referenceperioden, som krævet i henhold til EGF-forordningens artikel 6, stk. 2;</w:t>
      </w:r>
      <w:r w:rsidRPr="00037302">
        <w:rPr>
          <w:sz w:val="23"/>
        </w:rPr>
        <w:t xml:space="preserve"> </w:t>
      </w:r>
    </w:p>
    <w:p w14:paraId="72898120" w14:textId="77777777" w:rsidR="0002681C" w:rsidRPr="00037302" w:rsidRDefault="0002681C" w:rsidP="0002681C">
      <w:pPr>
        <w:pStyle w:val="NormalHanging12a"/>
      </w:pPr>
      <w:r w:rsidRPr="00037302">
        <w:t xml:space="preserve">D. </w:t>
      </w:r>
      <w:r w:rsidRPr="00037302">
        <w:tab/>
        <w:t>der henviser til, at ansøgningen er baseret på interventionskriterierne i EGF-forordningens artikel 4, stk. 2, litra a), som forudsætter aktivitetsophør for mindst 200 afskedigede arbejdstagere eller selvstændige erhvervsdrivende i løbet af en firemåneders referenceperiode i en virksomhed i en medlemsstat, inklusive arbejdstagere, der er blevet afskediget af leverandører eller producenter i efterfølgende produktionsled;</w:t>
      </w:r>
    </w:p>
    <w:p w14:paraId="202BAA1A" w14:textId="1EEECAE0" w:rsidR="0002681C" w:rsidRPr="00037302" w:rsidRDefault="0002681C" w:rsidP="0002681C">
      <w:pPr>
        <w:pStyle w:val="NormalHanging12a"/>
        <w:rPr>
          <w:noProof/>
          <w:color w:val="7030A0"/>
        </w:rPr>
      </w:pPr>
      <w:r w:rsidRPr="00037302">
        <w:t xml:space="preserve">E. </w:t>
      </w:r>
      <w:r w:rsidRPr="00037302">
        <w:tab/>
        <w:t xml:space="preserve">der henviser til, at den russiske angrebskrig mod Ukraine og den stigende inflation har haft en indvirkning på omkostningerne til energi, materialer og arbejdskraft og medført et øget pres på </w:t>
      </w:r>
      <w:r w:rsidR="00243E87" w:rsidRPr="00037302">
        <w:t xml:space="preserve">Goodyears </w:t>
      </w:r>
      <w:r w:rsidRPr="00037302">
        <w:t xml:space="preserve">virksomheds fortjenstmarginer; </w:t>
      </w:r>
    </w:p>
    <w:p w14:paraId="46297C7D" w14:textId="77777777" w:rsidR="0002681C" w:rsidRPr="00037302" w:rsidRDefault="0002681C" w:rsidP="0002681C">
      <w:pPr>
        <w:pStyle w:val="NormalHanging12a"/>
        <w:rPr>
          <w:noProof/>
        </w:rPr>
      </w:pPr>
      <w:r w:rsidRPr="00037302">
        <w:t xml:space="preserve">F. </w:t>
      </w:r>
      <w:r w:rsidRPr="00037302">
        <w:tab/>
        <w:t xml:space="preserve">der henviser til, at Goodyear Germany GmbH er specialiseret i fremstilling af gummi- og plastprodukter, navnlig dæk; der henviser til, at virksomheden er blevet væsentligt påvirket af øget konkurrence fra lavprisimport med oprindelse i Asien; </w:t>
      </w:r>
    </w:p>
    <w:p w14:paraId="4099A778" w14:textId="49E9ADAB" w:rsidR="0002681C" w:rsidRPr="00037302" w:rsidRDefault="0002681C" w:rsidP="0002681C">
      <w:pPr>
        <w:pStyle w:val="NormalHanging12a"/>
        <w:rPr>
          <w:noProof/>
        </w:rPr>
      </w:pPr>
      <w:r w:rsidRPr="00037302">
        <w:t>G.</w:t>
      </w:r>
      <w:r w:rsidRPr="00037302">
        <w:tab/>
        <w:t xml:space="preserve">der henviser til, at dette er den anden mobilisering af EGF, som de tyske myndigheder har anmodet om efter en omstrukturering af virksomheden Goodyear, idet EGF blev mobiliseret efter lukning af </w:t>
      </w:r>
      <w:r w:rsidR="00243E87" w:rsidRPr="00037302">
        <w:t>e</w:t>
      </w:r>
      <w:r w:rsidR="00280F36" w:rsidRPr="00037302">
        <w:t>t</w:t>
      </w:r>
      <w:r w:rsidR="00243E87" w:rsidRPr="00037302">
        <w:t xml:space="preserve"> af </w:t>
      </w:r>
      <w:r w:rsidRPr="00037302">
        <w:t xml:space="preserve">virksomhedens anlæg i </w:t>
      </w:r>
      <w:proofErr w:type="spellStart"/>
      <w:r w:rsidRPr="00037302">
        <w:t>Philippsburg</w:t>
      </w:r>
      <w:proofErr w:type="spellEnd"/>
      <w:r w:rsidRPr="00037302">
        <w:t xml:space="preserve"> i 2017;</w:t>
      </w:r>
    </w:p>
    <w:p w14:paraId="61BA7B30" w14:textId="77777777" w:rsidR="0002681C" w:rsidRPr="00037302" w:rsidRDefault="0002681C" w:rsidP="0002681C">
      <w:pPr>
        <w:pStyle w:val="NormalHanging12a"/>
        <w:rPr>
          <w:noProof/>
        </w:rPr>
      </w:pPr>
      <w:r w:rsidRPr="00037302">
        <w:t>H.</w:t>
      </w:r>
      <w:r w:rsidRPr="00037302">
        <w:rPr>
          <w:color w:val="7030A0"/>
        </w:rPr>
        <w:tab/>
      </w:r>
      <w:r w:rsidRPr="00037302">
        <w:t xml:space="preserve">der henviser til, at den hurtige nedgang i efterspørgslen kombineret med stigende produktionsomkostninger tvang virksomheden til at gennemføre en omstruktureringsproces, som indebar lukning af et af dens produktionsanlæg og delvis </w:t>
      </w:r>
      <w:r w:rsidRPr="00037302">
        <w:lastRenderedPageBreak/>
        <w:t>lukning af et andet i Tyskland i 2024;</w:t>
      </w:r>
    </w:p>
    <w:p w14:paraId="4A14BD0C" w14:textId="77777777" w:rsidR="0002681C" w:rsidRPr="00037302" w:rsidRDefault="0002681C" w:rsidP="0002681C">
      <w:pPr>
        <w:pStyle w:val="NormalHanging12a"/>
        <w:jc w:val="both"/>
      </w:pPr>
      <w:r w:rsidRPr="00037302">
        <w:t>I.</w:t>
      </w:r>
      <w:r w:rsidRPr="00037302">
        <w:tab/>
        <w:t xml:space="preserve">der henviser til, at det tyske forbundsbudget og </w:t>
      </w:r>
      <w:proofErr w:type="spellStart"/>
      <w:r w:rsidRPr="00037302">
        <w:t>Bundesagentur</w:t>
      </w:r>
      <w:proofErr w:type="spellEnd"/>
      <w:r w:rsidRPr="00037302">
        <w:t xml:space="preserve"> </w:t>
      </w:r>
      <w:proofErr w:type="spellStart"/>
      <w:r w:rsidRPr="00037302">
        <w:t>für</w:t>
      </w:r>
      <w:proofErr w:type="spellEnd"/>
      <w:r w:rsidRPr="00037302">
        <w:t xml:space="preserve"> </w:t>
      </w:r>
      <w:proofErr w:type="spellStart"/>
      <w:r w:rsidRPr="00037302">
        <w:t>Arbeit</w:t>
      </w:r>
      <w:proofErr w:type="spellEnd"/>
      <w:r w:rsidRPr="00037302">
        <w:t xml:space="preserve"> (den offentlige arbejdsformidling) yder den nationale </w:t>
      </w:r>
      <w:proofErr w:type="spellStart"/>
      <w:r w:rsidRPr="00037302">
        <w:t>forfinansiering</w:t>
      </w:r>
      <w:proofErr w:type="spellEnd"/>
      <w:r w:rsidRPr="00037302">
        <w:t xml:space="preserve"> og medfinansiering af foranstaltningerne;</w:t>
      </w:r>
    </w:p>
    <w:p w14:paraId="18A562AF" w14:textId="77777777" w:rsidR="0002681C" w:rsidRPr="00037302" w:rsidRDefault="0002681C" w:rsidP="0002681C">
      <w:pPr>
        <w:pStyle w:val="NormalHanging12a"/>
        <w:jc w:val="both"/>
      </w:pPr>
      <w:r w:rsidRPr="00037302">
        <w:t>J.</w:t>
      </w:r>
      <w:r w:rsidRPr="00037302">
        <w:tab/>
        <w:t>der henviser til, at kravene i EU-lovgivningen og den nationale lovgivning vedrørende kollektiv afskedigelse er blevet overholdt;</w:t>
      </w:r>
    </w:p>
    <w:p w14:paraId="1BC78794" w14:textId="77777777" w:rsidR="0002681C" w:rsidRPr="00037302" w:rsidRDefault="0002681C" w:rsidP="0002681C">
      <w:pPr>
        <w:pStyle w:val="NormalHanging12a"/>
      </w:pPr>
      <w:r w:rsidRPr="00037302">
        <w:t>K.</w:t>
      </w:r>
      <w:r w:rsidRPr="00037302">
        <w:tab/>
        <w:t>der henviser til, at den økonomiske støtte fra EGF primært bør være rettet mod aktive arbejdsmarkedspolitiske foranstaltninger og individualiserede tilbud, som har til formål hurtigt at reintegrere støttemodtagerne i anstændig og bæredygtig beskæftigelse inden for eller uden for deres oprindelige aktivitetssektor, samtidig med at de gøres parate til en grønnere og mere digital europæisk økonomi;</w:t>
      </w:r>
    </w:p>
    <w:p w14:paraId="50A8EE7D" w14:textId="24B85F1A" w:rsidR="0002681C" w:rsidRPr="00037302" w:rsidRDefault="0002681C" w:rsidP="0002681C">
      <w:pPr>
        <w:widowControl/>
        <w:spacing w:after="240"/>
        <w:ind w:left="567" w:hanging="567"/>
        <w:rPr>
          <w:szCs w:val="24"/>
        </w:rPr>
      </w:pPr>
      <w:r w:rsidRPr="00037302">
        <w:t>L.</w:t>
      </w:r>
      <w:r w:rsidRPr="00037302">
        <w:rPr>
          <w:color w:val="7030A0"/>
        </w:rPr>
        <w:tab/>
      </w:r>
      <w:r w:rsidRPr="00037302">
        <w:t xml:space="preserve">der henviser til, at EGF ikke må overstige et maksimalt årligt beløb på 30 mio. EUR (i 2018-priser), jf. artikel 8 i forordning (EU, </w:t>
      </w:r>
      <w:proofErr w:type="spellStart"/>
      <w:r w:rsidRPr="00037302">
        <w:t>Euratom</w:t>
      </w:r>
      <w:proofErr w:type="spellEnd"/>
      <w:r w:rsidRPr="00037302">
        <w:t>) 2020/2093 som ændret ved Rådets forordning</w:t>
      </w:r>
      <w:r w:rsidR="00243E87" w:rsidRPr="00037302">
        <w:t xml:space="preserve"> </w:t>
      </w:r>
      <w:r w:rsidRPr="00037302">
        <w:t xml:space="preserve">(EU, </w:t>
      </w:r>
      <w:proofErr w:type="spellStart"/>
      <w:r w:rsidRPr="00037302">
        <w:t>Euratom</w:t>
      </w:r>
      <w:proofErr w:type="spellEnd"/>
      <w:r w:rsidRPr="00037302">
        <w:t xml:space="preserve">) 2024/765; </w:t>
      </w:r>
    </w:p>
    <w:p w14:paraId="7BD21450" w14:textId="77777777" w:rsidR="0002681C" w:rsidRPr="00037302" w:rsidRDefault="0002681C" w:rsidP="0002681C">
      <w:pPr>
        <w:pStyle w:val="NormalHanging12a"/>
      </w:pPr>
      <w:r w:rsidRPr="00037302">
        <w:t>1.</w:t>
      </w:r>
      <w:r w:rsidRPr="00037302">
        <w:tab/>
        <w:t>er enig med Kommissionen i, at betingelserne i artikel 4, stk. 2, litra a), i EGF-forordningen er opfyldt, og at Tyskland derfor er berettiget til økonomisk støtte på 3 085 166 EUR i henhold til nævnte forordning, hvilket svarer til 60 % af de samlede omkostninger på 5 141 944 EUR og omfatter udgifter til individualiserede tilbud på 4 936 274 EUR samt udgifter til forberedende arbejde, forvaltning, oplysning, offentlig omtale samt kontrol- og rapporteringsaktiviteter på 205 670 EUR;</w:t>
      </w:r>
    </w:p>
    <w:p w14:paraId="45623846" w14:textId="77777777" w:rsidR="0002681C" w:rsidRPr="00037302" w:rsidRDefault="0002681C" w:rsidP="0002681C">
      <w:pPr>
        <w:pStyle w:val="NormalHanging12a"/>
      </w:pPr>
      <w:r w:rsidRPr="00037302">
        <w:t xml:space="preserve">2. </w:t>
      </w:r>
      <w:r w:rsidRPr="00037302">
        <w:tab/>
        <w:t xml:space="preserve">bemærker, at de tyske myndigheder indgav ansøgningen den 10. marts 2025, og at Kommissionen, efter at Tyskland havde forelagt yderligere oplysninger, den 29. juli 2025, dvs. mere end fire måneder senere, afsluttede sin vurdering heraf og fremsendte den til Parlamentet den 26. august 2025; </w:t>
      </w:r>
    </w:p>
    <w:p w14:paraId="6415AEF8" w14:textId="0C734804" w:rsidR="0002681C" w:rsidRPr="00037302" w:rsidRDefault="0002681C" w:rsidP="0002681C">
      <w:pPr>
        <w:pStyle w:val="NormalHanging12a"/>
      </w:pPr>
      <w:r w:rsidRPr="00037302">
        <w:t>3.</w:t>
      </w:r>
      <w:r w:rsidRPr="00037302">
        <w:tab/>
        <w:t xml:space="preserve">bemærker, at ansøgningen vedrører 1 171 afskedigede arbejdstagere, som er berørt af lukningen af produktionsanlægget i Fulda og </w:t>
      </w:r>
      <w:r w:rsidR="00243E87" w:rsidRPr="00037302">
        <w:t>d</w:t>
      </w:r>
      <w:r w:rsidRPr="00037302">
        <w:t>en delvis</w:t>
      </w:r>
      <w:r w:rsidR="00243E87" w:rsidRPr="00037302">
        <w:t>e</w:t>
      </w:r>
      <w:r w:rsidRPr="00037302">
        <w:t xml:space="preserve"> nedlukning af produktionsanlæggene i </w:t>
      </w:r>
      <w:proofErr w:type="spellStart"/>
      <w:r w:rsidRPr="00037302">
        <w:t>Hanau</w:t>
      </w:r>
      <w:proofErr w:type="spellEnd"/>
      <w:r w:rsidRPr="00037302">
        <w:t>; bemærker endvidere, at i alt 915 afskedigede arbejdstagere vil være tiltænkte støttemodtagere og forventes at deltage i foranstaltningerne;</w:t>
      </w:r>
    </w:p>
    <w:p w14:paraId="2EE63C42" w14:textId="77777777" w:rsidR="0002681C" w:rsidRPr="00037302" w:rsidRDefault="0002681C" w:rsidP="0002681C">
      <w:pPr>
        <w:pStyle w:val="NormalHanging12a"/>
      </w:pPr>
      <w:r w:rsidRPr="00037302">
        <w:t>4.</w:t>
      </w:r>
      <w:r w:rsidRPr="00037302">
        <w:tab/>
        <w:t xml:space="preserve">noterer sig, at de fleste af de afskedigede arbejdstagere har et lavt uddannelsesniveau (56 % med sekundæruddannelse på første trin eller derunder) og er 54 år eller derover (42 %); understreger, at navnlig ældre arbejdstagere udgør en meget sårbar gruppe, der støder på betydelige hindringer for genansættelse på grund af begrænsede muligheder for opkvalificering og omskoling; </w:t>
      </w:r>
    </w:p>
    <w:p w14:paraId="51A2737C" w14:textId="50252416" w:rsidR="0002681C" w:rsidRPr="00037302" w:rsidRDefault="0002681C" w:rsidP="0002681C">
      <w:pPr>
        <w:pStyle w:val="NormalHanging12a"/>
      </w:pPr>
      <w:r w:rsidRPr="00037302">
        <w:t>5.</w:t>
      </w:r>
      <w:r w:rsidRPr="00037302">
        <w:tab/>
        <w:t xml:space="preserve">påpeger, at afskedigelserne i Goodyear øgede den årlige arbejdsløshedsprocent i Fulda-regionen </w:t>
      </w:r>
      <w:r w:rsidR="00243E87" w:rsidRPr="00037302">
        <w:t xml:space="preserve">med </w:t>
      </w:r>
      <w:r w:rsidRPr="00037302">
        <w:t>over 10 %, hvilket i uforholdsmæssig grad berørte mandlige arbejdstagere og personer over 50 år, hvoraf mange har forældede kvalifikationer og færdigheder, der ikke er i overensstemmelse med den nuværende efterspørgsel på arbejdsmarkedet; understreger, at der er behov for en hurtig indsats for at forhindre strukturel regional tilbagegang, og fremhæver betydningen af at fremme fremtidsorienterede job af høj kvalitet for at sikre økonomisk og social modstandsdygtighed på længere sigt;</w:t>
      </w:r>
    </w:p>
    <w:p w14:paraId="60354F23" w14:textId="77777777" w:rsidR="0002681C" w:rsidRPr="00037302" w:rsidRDefault="0002681C" w:rsidP="0002681C">
      <w:pPr>
        <w:pStyle w:val="NormalHanging12a"/>
      </w:pPr>
      <w:r w:rsidRPr="00037302">
        <w:t>6.</w:t>
      </w:r>
      <w:r w:rsidRPr="00037302">
        <w:tab/>
        <w:t xml:space="preserve">minder om, at de individualiserede tilbud til arbejdstagerne omfatter følgende foranstaltninger: væsentlige opkvalificerings- eller omskolingsforanstaltninger, </w:t>
      </w:r>
      <w:r w:rsidRPr="00037302">
        <w:lastRenderedPageBreak/>
        <w:t>vejledning og erhvervsvejledning samt aktiveringsforanstaltninger, rådgivningstjenester og tilskud i forbindelse med virksomhedsetablering, hjælp til jobsøgning, incitamenter til opkvalificering og yderligere incitamenter, uddannelsestilskud og uddannelse i digitale færdigheder; understreger i den forbindelse, at en veluddannet arbejdsstyrke er af afgørende betydning for en fremtidssikret europæisk økonomi;</w:t>
      </w:r>
    </w:p>
    <w:p w14:paraId="7829CB8D" w14:textId="3BE6504F" w:rsidR="0002681C" w:rsidRPr="00037302" w:rsidRDefault="0002681C" w:rsidP="0002681C">
      <w:pPr>
        <w:pStyle w:val="NormalHanging12a"/>
      </w:pPr>
      <w:r w:rsidRPr="00037302">
        <w:t>7.</w:t>
      </w:r>
      <w:r w:rsidRPr="00037302">
        <w:tab/>
        <w:t>anser det for at være Unionens og medlemsstaternes sociale ansvar at sørge for, at de afskedigede arbejdstagere tilegner sig de kvalifikationer, som er nødvendige i en fremtidssikret europæisk økonomi, der gennemfører den digitale og grønne omstilling; mener derfor, at det er nødvendigt, at mobiliseringen af EGF integreres i en større politisk indsats;</w:t>
      </w:r>
    </w:p>
    <w:p w14:paraId="7672D841" w14:textId="77777777" w:rsidR="0002681C" w:rsidRPr="00037302" w:rsidRDefault="0002681C" w:rsidP="0002681C">
      <w:pPr>
        <w:pStyle w:val="NormalHanging12a"/>
      </w:pPr>
      <w:r w:rsidRPr="00037302">
        <w:t>8.</w:t>
      </w:r>
      <w:r w:rsidRPr="00037302">
        <w:tab/>
        <w:t>opfordrer til, at der foretages grundige endelige evalueringer af de gennemførte foranstaltninger, ved at man indarbejder oplysninger om, hvor mange arbejdstagere der er vendt tilbage til arbejdsmarkedet, og hvor mange der har gennemført uddannelses- og opkvalificeringsforanstaltninger;</w:t>
      </w:r>
    </w:p>
    <w:p w14:paraId="4414E531" w14:textId="77777777" w:rsidR="0002681C" w:rsidRPr="00037302" w:rsidRDefault="0002681C" w:rsidP="0002681C">
      <w:pPr>
        <w:pStyle w:val="NormalHanging12a"/>
      </w:pPr>
      <w:r w:rsidRPr="00037302">
        <w:t>9.</w:t>
      </w:r>
      <w:r w:rsidRPr="00037302">
        <w:tab/>
        <w:t xml:space="preserve">bemærker, at der pr. 20. februar 2025 er indgået i alt 915 trepartskontrakter mellem Goodyear, arbejdstagerne og PMB International GmbH, som er den tjenesteyder, der er blevet valgt til at lede transferselskabet, med 781 tilmeldinger for Fulda og 134 for </w:t>
      </w:r>
      <w:proofErr w:type="spellStart"/>
      <w:r w:rsidRPr="00037302">
        <w:t>Hanau</w:t>
      </w:r>
      <w:proofErr w:type="spellEnd"/>
      <w:r w:rsidRPr="00037302">
        <w:t>; glæder sig over tilkendegivelsen af, at disse tal forventes at stige, efterhånden som der indgås flere aftaler;</w:t>
      </w:r>
    </w:p>
    <w:p w14:paraId="70A95347" w14:textId="0DA3CB42" w:rsidR="0002681C" w:rsidRPr="00037302" w:rsidRDefault="0002681C" w:rsidP="0002681C">
      <w:pPr>
        <w:pStyle w:val="NormalHanging12a"/>
      </w:pPr>
      <w:r w:rsidRPr="00037302">
        <w:t>10.</w:t>
      </w:r>
      <w:r w:rsidRPr="00037302">
        <w:tab/>
        <w:t>bemærker, at Tyskland begyndte at give individualiserede tilbud til de tiltænkte støttemodtagere den 1. november 2024, og at perioden for berettigelse til økonomisk EGF-støtte derfor vil være fra den dato og indtil 24 måneder efter datoen for ikrafttræden</w:t>
      </w:r>
      <w:r w:rsidR="00243E87" w:rsidRPr="00037302">
        <w:t xml:space="preserve"> af den afgørelse, der er vedføjet denne beslutning</w:t>
      </w:r>
      <w:r w:rsidRPr="00037302">
        <w:t>;</w:t>
      </w:r>
    </w:p>
    <w:p w14:paraId="2AECB9C3" w14:textId="5FB94D4F" w:rsidR="0002681C" w:rsidRPr="00037302" w:rsidRDefault="0002681C" w:rsidP="0002681C">
      <w:pPr>
        <w:pStyle w:val="NormalHanging12a"/>
        <w:rPr>
          <w:sz w:val="23"/>
          <w:szCs w:val="23"/>
        </w:rPr>
      </w:pPr>
      <w:r w:rsidRPr="00037302">
        <w:t>11.</w:t>
      </w:r>
      <w:r w:rsidRPr="00037302">
        <w:tab/>
        <w:t>bemærker, at Tyskland siden den 1. november 2024 har afholdt de administrative udgifter til gennemførelsen af EGF, og at disse udgifter derfor berettiger til økonomisk EGF-støtte fra den dato og indtil 31 måneder efter datoen for ikrafttræden</w:t>
      </w:r>
      <w:r w:rsidR="00243E87" w:rsidRPr="00037302">
        <w:t xml:space="preserve"> af den afgørelse, der er vedføjet denne beslutning</w:t>
      </w:r>
      <w:r w:rsidRPr="00037302">
        <w:t>;</w:t>
      </w:r>
    </w:p>
    <w:p w14:paraId="569F4821" w14:textId="77777777" w:rsidR="0002681C" w:rsidRPr="00037302" w:rsidRDefault="0002681C" w:rsidP="0002681C">
      <w:pPr>
        <w:pStyle w:val="NormalHanging12a"/>
      </w:pPr>
      <w:r w:rsidRPr="00037302">
        <w:t>12.</w:t>
      </w:r>
      <w:r w:rsidRPr="00037302">
        <w:tab/>
        <w:t>understreger, at de tyske myndigheder har givet garanti for, at principperne om ligebehandling og ikkeforskelsbehandling vil blive overholdt i forbindelse med adgangen til de foreslåede foranstaltninger og deres gennemførelse, og at dobbeltfinansiering vil blive forhindret;</w:t>
      </w:r>
    </w:p>
    <w:p w14:paraId="379EEF1C" w14:textId="77777777" w:rsidR="0002681C" w:rsidRPr="00037302" w:rsidRDefault="0002681C" w:rsidP="0002681C">
      <w:pPr>
        <w:pStyle w:val="NormalHanging12a"/>
      </w:pPr>
      <w:r w:rsidRPr="00037302">
        <w:t>13.</w:t>
      </w:r>
      <w:r w:rsidRPr="00037302">
        <w:tab/>
        <w:t>minder om, at de tyske myndigheder anerkender EU-finansieringens oprindelse og sikrer dens synlighed, samtidig med at de fremhæver Unionens merværdi; understreger, at dette bør opnås gennem målrettet oplysning henvendt til støttemodtagerne, arbejdsmarkedets parter og medierne;</w:t>
      </w:r>
    </w:p>
    <w:p w14:paraId="6747C5D5" w14:textId="77777777" w:rsidR="0002681C" w:rsidRPr="00037302" w:rsidRDefault="0002681C" w:rsidP="0002681C">
      <w:pPr>
        <w:pStyle w:val="NormalHanging12a"/>
      </w:pPr>
      <w:r w:rsidRPr="00037302">
        <w:t>14.</w:t>
      </w:r>
      <w:r w:rsidRPr="00037302">
        <w:tab/>
        <w:t>gentager, at EGF-støtte ikke må erstatte foranstaltninger, som det påhviler virksomhederne at gennemføre i henhold til national lovgivning eller kollektive overenskomster;</w:t>
      </w:r>
    </w:p>
    <w:p w14:paraId="477D7337" w14:textId="77777777" w:rsidR="0002681C" w:rsidRPr="00037302" w:rsidRDefault="0002681C" w:rsidP="0002681C">
      <w:pPr>
        <w:pStyle w:val="NormalHanging12a"/>
      </w:pPr>
      <w:r w:rsidRPr="00037302">
        <w:t>15.</w:t>
      </w:r>
      <w:r w:rsidRPr="00037302">
        <w:tab/>
        <w:t xml:space="preserve">understreger det presserende behov for en sammenhængende og koordineret EU-indsats, når det gælder om at styrke konkurrenceevnen, udviklet i tæt samarbejde med medlemsstaterne med det formål at beskytte Europas industrielle beskæftigelsesgrundlag og sociale sikringsordninger; understreger, at omfattende afskedigelser reelt kun kan forhindres ved at sikre en robust og modstandsdygtig </w:t>
      </w:r>
      <w:r w:rsidRPr="00037302">
        <w:lastRenderedPageBreak/>
        <w:t>europæisk økonomi, hvilket allerede i sig selv vil mindske behovet for, at EGF intervenerer;</w:t>
      </w:r>
    </w:p>
    <w:p w14:paraId="32B9E1F8" w14:textId="77777777" w:rsidR="0002681C" w:rsidRPr="00037302" w:rsidRDefault="0002681C" w:rsidP="0002681C">
      <w:pPr>
        <w:pStyle w:val="NormalHanging12a"/>
      </w:pPr>
      <w:r w:rsidRPr="00037302">
        <w:t>16.</w:t>
      </w:r>
      <w:r w:rsidRPr="00037302">
        <w:tab/>
        <w:t>godkender den afgørelse, der er vedføjet denne beslutning;</w:t>
      </w:r>
    </w:p>
    <w:p w14:paraId="201EAA88" w14:textId="77777777" w:rsidR="0002681C" w:rsidRPr="00037302" w:rsidRDefault="0002681C" w:rsidP="0002681C">
      <w:pPr>
        <w:pStyle w:val="NormalHanging12a"/>
      </w:pPr>
      <w:r w:rsidRPr="00037302">
        <w:t>17.</w:t>
      </w:r>
      <w:r w:rsidRPr="00037302">
        <w:tab/>
        <w:t xml:space="preserve">pålægger sin formand at undertegne denne afgørelse sammen med Rådets formand og drage omsorg for, at den offentliggøres i </w:t>
      </w:r>
      <w:r w:rsidRPr="00037302">
        <w:rPr>
          <w:i/>
        </w:rPr>
        <w:t>Den Europæiske Unions Tidende</w:t>
      </w:r>
      <w:r w:rsidRPr="00037302">
        <w:t>;</w:t>
      </w:r>
    </w:p>
    <w:p w14:paraId="5380E92A" w14:textId="77777777" w:rsidR="0002681C" w:rsidRPr="00037302" w:rsidRDefault="0002681C" w:rsidP="0002681C">
      <w:pPr>
        <w:widowControl/>
        <w:ind w:left="567" w:hanging="567"/>
      </w:pPr>
      <w:r w:rsidRPr="00037302">
        <w:t>18.</w:t>
      </w:r>
      <w:r w:rsidRPr="00037302">
        <w:tab/>
        <w:t>pålægger sin formand at sende denne beslutning sammen med bilaget til Rådet og Kommissionen.</w:t>
      </w:r>
    </w:p>
    <w:p w14:paraId="137DCE39" w14:textId="77777777" w:rsidR="0002681C" w:rsidRPr="00037302" w:rsidRDefault="0002681C" w:rsidP="0002681C">
      <w:bookmarkStart w:id="7" w:name="_Toc206749151"/>
    </w:p>
    <w:p w14:paraId="5C5D0BA4" w14:textId="77777777" w:rsidR="0002681C" w:rsidRPr="00037302" w:rsidRDefault="0002681C" w:rsidP="0002681C">
      <w:pPr>
        <w:sectPr w:rsidR="0002681C" w:rsidRPr="00037302" w:rsidSect="003A0D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FAB9388" w14:textId="3D334506" w:rsidR="004C0D97" w:rsidRPr="004C0D97" w:rsidRDefault="0002681C" w:rsidP="0002681C">
      <w:pPr>
        <w:pStyle w:val="PageHeading"/>
        <w:rPr>
          <w:rFonts w:ascii="Times New Roman" w:hAnsi="Times New Roman" w:cs="Times New Roman"/>
        </w:rPr>
      </w:pPr>
      <w:bookmarkStart w:id="8" w:name="_Toc210384756"/>
      <w:r w:rsidRPr="004C0D97">
        <w:rPr>
          <w:rFonts w:ascii="Times New Roman" w:hAnsi="Times New Roman" w:cs="Times New Roman"/>
        </w:rPr>
        <w:lastRenderedPageBreak/>
        <w:t>BILAG</w:t>
      </w:r>
    </w:p>
    <w:p w14:paraId="78946F7C" w14:textId="7F49721C" w:rsidR="0002681C" w:rsidRPr="004C0D97" w:rsidRDefault="0002681C" w:rsidP="0002681C">
      <w:pPr>
        <w:pStyle w:val="PageHeading"/>
        <w:rPr>
          <w:rFonts w:ascii="Times New Roman" w:hAnsi="Times New Roman" w:cs="Times New Roman"/>
          <w:noProof/>
        </w:rPr>
      </w:pPr>
      <w:r w:rsidRPr="004C0D97">
        <w:rPr>
          <w:rFonts w:ascii="Times New Roman" w:hAnsi="Times New Roman" w:cs="Times New Roman"/>
        </w:rPr>
        <w:t>EUROPA-PARLAMENTETS OG RÅDETS AFGØRELSE</w:t>
      </w:r>
      <w:bookmarkEnd w:id="7"/>
      <w:bookmarkEnd w:id="8"/>
    </w:p>
    <w:p w14:paraId="7185F13D" w14:textId="77777777" w:rsidR="0002681C" w:rsidRPr="00037302" w:rsidRDefault="0002681C" w:rsidP="0002681C">
      <w:pPr>
        <w:pStyle w:val="NormalBold24a"/>
        <w:spacing w:before="120" w:after="0"/>
        <w:rPr>
          <w:noProof/>
        </w:rPr>
      </w:pPr>
      <w:r w:rsidRPr="00037302">
        <w:t>om mobilisering af Den Europæiske Fond for Tilpasning til Globaliseringen for Afskedigede Arbejdstagere på baggrund af en ansøgning fra Tyskland – EGF/2025/002 DE/Goodyear 2</w:t>
      </w:r>
    </w:p>
    <w:p w14:paraId="3A84A17A" w14:textId="76E9B81F" w:rsidR="0002681C" w:rsidRPr="00037302" w:rsidRDefault="004C0D97" w:rsidP="0002681C">
      <w:pPr>
        <w:pStyle w:val="NormalBold24a"/>
        <w:spacing w:before="120" w:after="0"/>
        <w:rPr>
          <w:noProof/>
        </w:rPr>
      </w:pPr>
      <w:r w:rsidRPr="004C0D97">
        <w:rPr>
          <w:rFonts w:eastAsia="Calibri"/>
          <w:bCs w:val="0"/>
          <w:i/>
          <w:iCs/>
          <w:szCs w:val="24"/>
          <w:lang w:eastAsia="en-US"/>
        </w:rPr>
        <w:t>(</w:t>
      </w:r>
      <w:r w:rsidRPr="004C0D97">
        <w:rPr>
          <w:rFonts w:eastAsia="Calibri"/>
          <w:b w:val="0"/>
          <w:bCs w:val="0"/>
          <w:i/>
          <w:iCs/>
          <w:szCs w:val="24"/>
          <w:lang w:eastAsia="en-US"/>
        </w:rPr>
        <w:t>Teksten i bilaget gengives ikke her, eftersom det svarer til den endelige retsakt, afgørelse (EU) 202</w:t>
      </w:r>
      <w:r w:rsidRPr="004C0D97">
        <w:rPr>
          <w:rFonts w:eastAsia="Calibri"/>
          <w:b w:val="0"/>
          <w:bCs w:val="0"/>
          <w:i/>
          <w:iCs/>
          <w:szCs w:val="24"/>
          <w:lang w:eastAsia="en-US"/>
        </w:rPr>
        <w:t>5</w:t>
      </w:r>
      <w:r w:rsidRPr="004C0D97">
        <w:rPr>
          <w:rFonts w:eastAsia="Calibri"/>
          <w:bCs w:val="0"/>
          <w:i/>
          <w:iCs/>
          <w:szCs w:val="24"/>
          <w:lang w:eastAsia="en-US"/>
        </w:rPr>
        <w:t>/</w:t>
      </w:r>
      <w:r w:rsidRPr="004C0D97">
        <w:rPr>
          <w:rFonts w:eastAsia="Calibri"/>
          <w:b w:val="0"/>
          <w:i/>
          <w:iCs/>
          <w:szCs w:val="24"/>
          <w:lang w:eastAsia="en-US"/>
        </w:rPr>
        <w:t>2135</w:t>
      </w:r>
      <w:r w:rsidRPr="004C0D97">
        <w:rPr>
          <w:rFonts w:eastAsia="Calibri"/>
          <w:b w:val="0"/>
          <w:bCs w:val="0"/>
          <w:i/>
          <w:iCs/>
          <w:szCs w:val="24"/>
          <w:lang w:eastAsia="en-US"/>
        </w:rPr>
        <w:t>.)</w:t>
      </w:r>
    </w:p>
    <w:sectPr w:rsidR="0002681C" w:rsidRPr="00037302" w:rsidSect="003A0D1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638AC" w14:textId="77777777" w:rsidR="00960B8F" w:rsidRPr="003A0D10" w:rsidRDefault="00960B8F">
      <w:r w:rsidRPr="003A0D10">
        <w:separator/>
      </w:r>
    </w:p>
  </w:endnote>
  <w:endnote w:type="continuationSeparator" w:id="0">
    <w:p w14:paraId="1E974536" w14:textId="77777777" w:rsidR="00960B8F" w:rsidRPr="003A0D10" w:rsidRDefault="00960B8F">
      <w:r w:rsidRPr="003A0D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8E65" w14:textId="77777777" w:rsidR="0002681C" w:rsidRPr="003A0D10" w:rsidRDefault="0002681C" w:rsidP="009B7D8F">
    <w:pPr>
      <w:pStyle w:val="EPFooter"/>
    </w:pPr>
    <w:r w:rsidRPr="003A0D10">
      <w:t>PE</w:t>
    </w:r>
    <w:r w:rsidRPr="003A0D10">
      <w:rPr>
        <w:rStyle w:val="HideTWBExt"/>
      </w:rPr>
      <w:t>&lt;NoPE&gt;</w:t>
    </w:r>
    <w:r w:rsidRPr="003A0D10">
      <w:t>776.828</w:t>
    </w:r>
    <w:r w:rsidRPr="003A0D10">
      <w:rPr>
        <w:rStyle w:val="HideTWBExt"/>
      </w:rPr>
      <w:t>&lt;/NoPE&gt;&lt;Version&gt;</w:t>
    </w:r>
    <w:r w:rsidRPr="003A0D10">
      <w:t>v02-00</w:t>
    </w:r>
    <w:r w:rsidRPr="003A0D10">
      <w:rPr>
        <w:rStyle w:val="HideTWBExt"/>
      </w:rPr>
      <w:t>&lt;/Version&gt;</w:t>
    </w:r>
    <w:r w:rsidRPr="003A0D10">
      <w:tab/>
    </w:r>
    <w:r w:rsidRPr="003A0D10">
      <w:fldChar w:fldCharType="begin"/>
    </w:r>
    <w:r w:rsidRPr="003A0D10">
      <w:instrText xml:space="preserve"> PAGE  \* MERGEFORMAT </w:instrText>
    </w:r>
    <w:r w:rsidRPr="003A0D10">
      <w:fldChar w:fldCharType="separate"/>
    </w:r>
    <w:r w:rsidRPr="003A0D10">
      <w:rPr>
        <w:noProof/>
      </w:rPr>
      <w:t>1</w:t>
    </w:r>
    <w:r w:rsidRPr="003A0D10">
      <w:fldChar w:fldCharType="end"/>
    </w:r>
    <w:r w:rsidRPr="003A0D10">
      <w:t>/</w:t>
    </w:r>
    <w:r w:rsidR="004C0D97">
      <w:fldChar w:fldCharType="begin"/>
    </w:r>
    <w:r w:rsidR="004C0D97">
      <w:instrText xml:space="preserve"> NUMPAGES  \* MERGEFORMAT </w:instrText>
    </w:r>
    <w:r w:rsidR="004C0D97">
      <w:fldChar w:fldCharType="separate"/>
    </w:r>
    <w:r w:rsidRPr="003A0D10">
      <w:rPr>
        <w:noProof/>
      </w:rPr>
      <w:t>1</w:t>
    </w:r>
    <w:r w:rsidR="004C0D97">
      <w:rPr>
        <w:noProof/>
      </w:rPr>
      <w:fldChar w:fldCharType="end"/>
    </w:r>
    <w:r w:rsidRPr="003A0D10">
      <w:tab/>
    </w:r>
    <w:r w:rsidRPr="003A0D10">
      <w:rPr>
        <w:rStyle w:val="HideTWBExt"/>
      </w:rPr>
      <w:t>&lt;PathFdR&gt;</w:t>
    </w:r>
    <w:r w:rsidRPr="003A0D10">
      <w:t>RR\1328613DA.docx</w:t>
    </w:r>
    <w:r w:rsidRPr="003A0D10">
      <w:rPr>
        <w:rStyle w:val="HideTWBExt"/>
      </w:rPr>
      <w:t>&lt;/PathFdR&gt;</w:t>
    </w:r>
  </w:p>
  <w:p w14:paraId="382869EC" w14:textId="77777777" w:rsidR="0002681C" w:rsidRPr="003A0D10" w:rsidRDefault="0002681C" w:rsidP="009B7D8F">
    <w:pPr>
      <w:pStyle w:val="EPFooter2"/>
    </w:pPr>
    <w:r w:rsidRPr="003A0D1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05692" w14:textId="62521DBD" w:rsidR="0002681C" w:rsidRPr="003A0D10" w:rsidRDefault="0002681C" w:rsidP="009B7D8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60590" w14:textId="77777777" w:rsidR="0002681C" w:rsidRPr="003A0D10" w:rsidRDefault="0002681C" w:rsidP="009B7D8F">
    <w:pPr>
      <w:pStyle w:val="EPFooter"/>
    </w:pPr>
    <w:r w:rsidRPr="003A0D10">
      <w:rPr>
        <w:rStyle w:val="HideTWBExt"/>
      </w:rPr>
      <w:t>&lt;PathFdR&gt;</w:t>
    </w:r>
    <w:r w:rsidRPr="003A0D10">
      <w:t>RR\1328613DA.docx</w:t>
    </w:r>
    <w:r w:rsidRPr="003A0D10">
      <w:rPr>
        <w:rStyle w:val="HideTWBExt"/>
      </w:rPr>
      <w:t>&lt;/PathFdR&gt;</w:t>
    </w:r>
    <w:r w:rsidRPr="003A0D10">
      <w:tab/>
    </w:r>
    <w:r w:rsidRPr="003A0D10">
      <w:tab/>
      <w:t>PE</w:t>
    </w:r>
    <w:r w:rsidRPr="003A0D10">
      <w:rPr>
        <w:rStyle w:val="HideTWBExt"/>
      </w:rPr>
      <w:t>&lt;NoPE&gt;</w:t>
    </w:r>
    <w:r w:rsidRPr="003A0D10">
      <w:t>776.828</w:t>
    </w:r>
    <w:r w:rsidRPr="003A0D10">
      <w:rPr>
        <w:rStyle w:val="HideTWBExt"/>
      </w:rPr>
      <w:t>&lt;/NoPE&gt;&lt;Version&gt;</w:t>
    </w:r>
    <w:r w:rsidRPr="003A0D10">
      <w:t>v02-00</w:t>
    </w:r>
    <w:r w:rsidRPr="003A0D10">
      <w:rPr>
        <w:rStyle w:val="HideTWBExt"/>
      </w:rPr>
      <w:t>&lt;/Version&gt;</w:t>
    </w:r>
  </w:p>
  <w:p w14:paraId="57104093" w14:textId="77777777" w:rsidR="0002681C" w:rsidRPr="003A0D10" w:rsidRDefault="0002681C" w:rsidP="009B7D8F">
    <w:pPr>
      <w:pStyle w:val="EPFooter2"/>
    </w:pPr>
    <w:r w:rsidRPr="003A0D10">
      <w:t>DA</w:t>
    </w:r>
    <w:r w:rsidRPr="003A0D10">
      <w:tab/>
    </w:r>
    <w:r w:rsidRPr="003A0D10">
      <w:rPr>
        <w:b w:val="0"/>
        <w:i/>
        <w:color w:val="C0C0C0"/>
        <w:sz w:val="22"/>
      </w:rPr>
      <w:t>Forenet i mangfoldighed</w:t>
    </w:r>
    <w:r w:rsidRPr="003A0D10">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400C" w14:textId="77777777" w:rsidR="00064002" w:rsidRPr="003A0D1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A5E1" w14:textId="77777777" w:rsidR="00064002" w:rsidRPr="003A0D1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206F" w14:textId="77777777" w:rsidR="00064002" w:rsidRPr="003A0D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E4A8D" w14:textId="77777777" w:rsidR="00960B8F" w:rsidRPr="003A0D10" w:rsidRDefault="00960B8F">
      <w:r w:rsidRPr="003A0D10">
        <w:separator/>
      </w:r>
    </w:p>
  </w:footnote>
  <w:footnote w:type="continuationSeparator" w:id="0">
    <w:p w14:paraId="29FA38FC" w14:textId="77777777" w:rsidR="00960B8F" w:rsidRPr="003A0D10" w:rsidRDefault="00960B8F">
      <w:r w:rsidRPr="003A0D10">
        <w:continuationSeparator/>
      </w:r>
    </w:p>
  </w:footnote>
  <w:footnote w:id="1">
    <w:p w14:paraId="5FDDAA1E" w14:textId="0D2DC244" w:rsidR="0002681C" w:rsidRPr="003A0D10" w:rsidRDefault="0002681C" w:rsidP="003A0D10">
      <w:pPr>
        <w:pStyle w:val="FootnoteText"/>
        <w:ind w:left="567" w:hanging="567"/>
        <w:rPr>
          <w:sz w:val="24"/>
          <w:lang w:val="da-DK"/>
        </w:rPr>
      </w:pPr>
      <w:r w:rsidRPr="003A0D10">
        <w:rPr>
          <w:rStyle w:val="FootnoteReference"/>
          <w:sz w:val="24"/>
          <w:lang w:val="da-DK"/>
        </w:rPr>
        <w:footnoteRef/>
      </w:r>
      <w:r w:rsidR="003A0D10" w:rsidRPr="003A0D10">
        <w:rPr>
          <w:sz w:val="24"/>
          <w:lang w:val="da-DK"/>
        </w:rPr>
        <w:t xml:space="preserve"> </w:t>
      </w:r>
      <w:r w:rsidR="003A0D10" w:rsidRPr="003A0D10">
        <w:rPr>
          <w:sz w:val="24"/>
          <w:lang w:val="da-DK"/>
        </w:rPr>
        <w:tab/>
      </w:r>
      <w:r w:rsidRPr="003A0D10">
        <w:rPr>
          <w:sz w:val="24"/>
          <w:lang w:val="da-DK"/>
        </w:rPr>
        <w:t xml:space="preserve">EUT L 153 af 3.5.2021, s. 48, ELI: </w:t>
      </w:r>
      <w:hyperlink r:id="rId1" w:history="1">
        <w:r w:rsidRPr="003A0D10">
          <w:rPr>
            <w:rStyle w:val="Hyperlink"/>
            <w:sz w:val="24"/>
            <w:lang w:val="da-DK"/>
          </w:rPr>
          <w:t>http://data.europa.eu/eli/reg/2021/691/oj</w:t>
        </w:r>
      </w:hyperlink>
      <w:r w:rsidRPr="003A0D10">
        <w:rPr>
          <w:sz w:val="24"/>
          <w:lang w:val="da-DK"/>
        </w:rPr>
        <w:t>.</w:t>
      </w:r>
    </w:p>
  </w:footnote>
  <w:footnote w:id="2">
    <w:p w14:paraId="55D429F2" w14:textId="3932BE8E" w:rsidR="0002681C" w:rsidRPr="003A0D10" w:rsidRDefault="0002681C" w:rsidP="003A0D10">
      <w:pPr>
        <w:pStyle w:val="FootnoteText"/>
        <w:ind w:left="567" w:hanging="567"/>
        <w:rPr>
          <w:sz w:val="24"/>
          <w:lang w:val="da-DK"/>
        </w:rPr>
      </w:pPr>
      <w:r w:rsidRPr="003A0D10">
        <w:rPr>
          <w:rStyle w:val="FootnoteReference"/>
          <w:sz w:val="24"/>
          <w:lang w:val="da-DK"/>
        </w:rPr>
        <w:footnoteRef/>
      </w:r>
      <w:r w:rsidR="003A0D10" w:rsidRPr="003A0D10">
        <w:rPr>
          <w:sz w:val="24"/>
          <w:lang w:val="da-DK"/>
        </w:rPr>
        <w:t xml:space="preserve"> </w:t>
      </w:r>
      <w:r w:rsidR="003A0D10" w:rsidRPr="003A0D10">
        <w:rPr>
          <w:sz w:val="24"/>
          <w:lang w:val="da-DK"/>
        </w:rPr>
        <w:tab/>
      </w:r>
      <w:r w:rsidRPr="003A0D10">
        <w:rPr>
          <w:sz w:val="24"/>
          <w:lang w:val="da-DK"/>
        </w:rPr>
        <w:t xml:space="preserve">EUT L 433 I af 22.12.2020, s. 11, ELI: </w:t>
      </w:r>
      <w:hyperlink r:id="rId2" w:history="1">
        <w:r w:rsidRPr="003A0D10">
          <w:rPr>
            <w:rStyle w:val="Hyperlink"/>
            <w:sz w:val="24"/>
            <w:lang w:val="da-DK"/>
          </w:rPr>
          <w:t>http://data.europa.eu/eli/reg/2020/2093/oj</w:t>
        </w:r>
      </w:hyperlink>
      <w:r w:rsidRPr="003A0D10">
        <w:rPr>
          <w:sz w:val="24"/>
          <w:lang w:val="da-DK"/>
        </w:rPr>
        <w:t>.</w:t>
      </w:r>
    </w:p>
  </w:footnote>
  <w:footnote w:id="3">
    <w:p w14:paraId="475A1C14" w14:textId="28DDFE4A" w:rsidR="0002681C" w:rsidRPr="003A0D10" w:rsidRDefault="0002681C" w:rsidP="003A0D10">
      <w:pPr>
        <w:pStyle w:val="FootnoteText"/>
        <w:ind w:left="567" w:hanging="567"/>
        <w:rPr>
          <w:sz w:val="24"/>
          <w:lang w:val="da-DK"/>
        </w:rPr>
      </w:pPr>
      <w:r w:rsidRPr="003A0D10">
        <w:rPr>
          <w:rStyle w:val="FootnoteReference"/>
          <w:sz w:val="24"/>
          <w:lang w:val="da-DK"/>
        </w:rPr>
        <w:footnoteRef/>
      </w:r>
      <w:r w:rsidR="003A0D10" w:rsidRPr="003A0D10">
        <w:rPr>
          <w:color w:val="333333"/>
          <w:sz w:val="24"/>
          <w:shd w:val="clear" w:color="auto" w:fill="FFFFFF"/>
          <w:lang w:val="da-DK"/>
        </w:rPr>
        <w:t xml:space="preserve"> </w:t>
      </w:r>
      <w:r w:rsidR="003A0D10" w:rsidRPr="003A0D10">
        <w:rPr>
          <w:color w:val="333333"/>
          <w:sz w:val="24"/>
          <w:shd w:val="clear" w:color="auto" w:fill="FFFFFF"/>
          <w:lang w:val="da-DK"/>
        </w:rPr>
        <w:tab/>
      </w:r>
      <w:r w:rsidRPr="003A0D10">
        <w:rPr>
          <w:color w:val="333333"/>
          <w:sz w:val="24"/>
          <w:shd w:val="clear" w:color="auto" w:fill="FFFFFF"/>
          <w:lang w:val="da-DK"/>
        </w:rPr>
        <w:t xml:space="preserve">Rådets forordning (EU, </w:t>
      </w:r>
      <w:proofErr w:type="spellStart"/>
      <w:r w:rsidRPr="003A0D10">
        <w:rPr>
          <w:color w:val="333333"/>
          <w:sz w:val="24"/>
          <w:shd w:val="clear" w:color="auto" w:fill="FFFFFF"/>
          <w:lang w:val="da-DK"/>
        </w:rPr>
        <w:t>Euratom</w:t>
      </w:r>
      <w:proofErr w:type="spellEnd"/>
      <w:r w:rsidRPr="003A0D10">
        <w:rPr>
          <w:color w:val="333333"/>
          <w:sz w:val="24"/>
          <w:shd w:val="clear" w:color="auto" w:fill="FFFFFF"/>
          <w:lang w:val="da-DK"/>
        </w:rPr>
        <w:t xml:space="preserve">) 2024/765 af 29. februar 2024 om ændring af forordning (EU, </w:t>
      </w:r>
      <w:proofErr w:type="spellStart"/>
      <w:r w:rsidRPr="003A0D10">
        <w:rPr>
          <w:color w:val="333333"/>
          <w:sz w:val="24"/>
          <w:shd w:val="clear" w:color="auto" w:fill="FFFFFF"/>
          <w:lang w:val="da-DK"/>
        </w:rPr>
        <w:t>Euratom</w:t>
      </w:r>
      <w:proofErr w:type="spellEnd"/>
      <w:r w:rsidRPr="003A0D10">
        <w:rPr>
          <w:color w:val="333333"/>
          <w:sz w:val="24"/>
          <w:shd w:val="clear" w:color="auto" w:fill="FFFFFF"/>
          <w:lang w:val="da-DK"/>
        </w:rPr>
        <w:t>) 2020/2093 om fastlæggelse af den flerårige finansielle ramme for årene 2021-2027 (</w:t>
      </w:r>
      <w:r w:rsidRPr="003A0D10">
        <w:rPr>
          <w:sz w:val="24"/>
          <w:lang w:val="da-DK"/>
        </w:rPr>
        <w:t xml:space="preserve">EUT L, 2024/765, 29.2.2024, ELI: </w:t>
      </w:r>
      <w:hyperlink r:id="rId3" w:history="1">
        <w:r w:rsidRPr="003A0D10">
          <w:rPr>
            <w:rStyle w:val="Hyperlink"/>
            <w:sz w:val="24"/>
            <w:lang w:val="da-DK"/>
          </w:rPr>
          <w:t>http://data.europa.eu/eli/reg/2024/765/oj</w:t>
        </w:r>
      </w:hyperlink>
      <w:r w:rsidRPr="003A0D10">
        <w:rPr>
          <w:rStyle w:val="Emphasis"/>
          <w:color w:val="333333"/>
          <w:sz w:val="24"/>
          <w:shd w:val="clear" w:color="auto" w:fill="FFFFFF"/>
          <w:lang w:val="da-DK"/>
        </w:rPr>
        <w:t>).</w:t>
      </w:r>
    </w:p>
  </w:footnote>
  <w:footnote w:id="4">
    <w:p w14:paraId="66F40C12" w14:textId="7B2541B5" w:rsidR="0002681C" w:rsidRPr="003A0D10" w:rsidRDefault="0002681C" w:rsidP="003A0D10">
      <w:pPr>
        <w:pStyle w:val="FootnoteText"/>
        <w:ind w:left="567" w:hanging="567"/>
        <w:rPr>
          <w:sz w:val="24"/>
          <w:lang w:val="da-DK"/>
        </w:rPr>
      </w:pPr>
      <w:r w:rsidRPr="003A0D10">
        <w:rPr>
          <w:rStyle w:val="FootnoteReference"/>
          <w:sz w:val="24"/>
          <w:lang w:val="da-DK"/>
        </w:rPr>
        <w:footnoteRef/>
      </w:r>
      <w:r w:rsidR="003A0D10" w:rsidRPr="003A0D10">
        <w:rPr>
          <w:sz w:val="24"/>
          <w:lang w:val="da-DK"/>
        </w:rPr>
        <w:t xml:space="preserve"> </w:t>
      </w:r>
      <w:r w:rsidR="003A0D10" w:rsidRPr="003A0D10">
        <w:rPr>
          <w:sz w:val="24"/>
          <w:lang w:val="da-DK"/>
        </w:rPr>
        <w:tab/>
      </w:r>
      <w:r w:rsidRPr="003A0D10">
        <w:rPr>
          <w:sz w:val="24"/>
          <w:lang w:val="da-DK"/>
        </w:rPr>
        <w:t xml:space="preserve">EUT L 433 I af 22.12.2020, s. 28, ELI: </w:t>
      </w:r>
      <w:hyperlink r:id="rId4" w:history="1">
        <w:r w:rsidRPr="003A0D10">
          <w:rPr>
            <w:rStyle w:val="Hyperlink"/>
            <w:sz w:val="24"/>
            <w:lang w:val="da-DK"/>
          </w:rPr>
          <w:t>http://data.europa.eu/eli/agree_interinstit/2020/1222/oj</w:t>
        </w:r>
      </w:hyperlink>
      <w:r w:rsidRPr="003A0D10">
        <w:rPr>
          <w:sz w:val="24"/>
          <w:lang w:val="da-DK"/>
        </w:rPr>
        <w:t>.</w:t>
      </w:r>
    </w:p>
  </w:footnote>
  <w:footnote w:id="5">
    <w:p w14:paraId="3B800274" w14:textId="1B62AE5C" w:rsidR="0002681C" w:rsidRPr="003A0D10" w:rsidRDefault="0002681C" w:rsidP="003A0D10">
      <w:pPr>
        <w:pStyle w:val="FootnoteText"/>
        <w:ind w:left="567" w:hanging="567"/>
        <w:rPr>
          <w:sz w:val="24"/>
          <w:lang w:val="da-DK"/>
        </w:rPr>
      </w:pPr>
      <w:r w:rsidRPr="003A0D10">
        <w:rPr>
          <w:rStyle w:val="FootnoteReference"/>
          <w:sz w:val="24"/>
          <w:lang w:val="da-DK"/>
        </w:rPr>
        <w:footnoteRef/>
      </w:r>
      <w:r w:rsidR="003A0D10" w:rsidRPr="003A0D10">
        <w:rPr>
          <w:sz w:val="24"/>
          <w:lang w:val="da-DK"/>
        </w:rPr>
        <w:t xml:space="preserve"> </w:t>
      </w:r>
      <w:r w:rsidR="003A0D10" w:rsidRPr="003A0D10">
        <w:rPr>
          <w:sz w:val="24"/>
          <w:lang w:val="da-DK"/>
        </w:rPr>
        <w:tab/>
      </w:r>
      <w:r w:rsidRPr="003A0D10">
        <w:rPr>
          <w:sz w:val="24"/>
          <w:lang w:val="da-DK"/>
        </w:rPr>
        <w:t>Som omhandlet i EGF-forordningens artikel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9B2F5" w14:textId="77777777" w:rsidR="0002681C" w:rsidRPr="003A0D10" w:rsidRDefault="00026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7A20" w14:textId="77777777" w:rsidR="0002681C" w:rsidRPr="003A0D10" w:rsidRDefault="000268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990DA" w14:textId="77777777" w:rsidR="0002681C" w:rsidRPr="003A0D10" w:rsidRDefault="000268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F576D" w14:textId="77777777" w:rsidR="00064002" w:rsidRPr="003A0D1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C672" w14:textId="77777777" w:rsidR="00064002" w:rsidRPr="003A0D1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7FF6" w14:textId="77777777" w:rsidR="00064002" w:rsidRPr="003A0D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3993295">
    <w:abstractNumId w:val="9"/>
  </w:num>
  <w:num w:numId="2" w16cid:durableId="710690998">
    <w:abstractNumId w:val="9"/>
  </w:num>
  <w:num w:numId="3" w16cid:durableId="1059475231">
    <w:abstractNumId w:val="7"/>
  </w:num>
  <w:num w:numId="4" w16cid:durableId="1315522673">
    <w:abstractNumId w:val="7"/>
  </w:num>
  <w:num w:numId="5" w16cid:durableId="1174536619">
    <w:abstractNumId w:val="6"/>
  </w:num>
  <w:num w:numId="6" w16cid:durableId="979388000">
    <w:abstractNumId w:val="6"/>
  </w:num>
  <w:num w:numId="7" w16cid:durableId="1759137255">
    <w:abstractNumId w:val="5"/>
  </w:num>
  <w:num w:numId="8" w16cid:durableId="2044478730">
    <w:abstractNumId w:val="5"/>
  </w:num>
  <w:num w:numId="9" w16cid:durableId="117919019">
    <w:abstractNumId w:val="4"/>
  </w:num>
  <w:num w:numId="10" w16cid:durableId="922952552">
    <w:abstractNumId w:val="4"/>
  </w:num>
  <w:num w:numId="11" w16cid:durableId="1663118472">
    <w:abstractNumId w:val="8"/>
  </w:num>
  <w:num w:numId="12" w16cid:durableId="736974968">
    <w:abstractNumId w:val="8"/>
  </w:num>
  <w:num w:numId="13" w16cid:durableId="1955398864">
    <w:abstractNumId w:val="3"/>
  </w:num>
  <w:num w:numId="14" w16cid:durableId="587929173">
    <w:abstractNumId w:val="3"/>
  </w:num>
  <w:num w:numId="15" w16cid:durableId="141044930">
    <w:abstractNumId w:val="2"/>
  </w:num>
  <w:num w:numId="16" w16cid:durableId="1241283144">
    <w:abstractNumId w:val="2"/>
  </w:num>
  <w:num w:numId="17" w16cid:durableId="307129248">
    <w:abstractNumId w:val="1"/>
  </w:num>
  <w:num w:numId="18" w16cid:durableId="1127436493">
    <w:abstractNumId w:val="1"/>
  </w:num>
  <w:num w:numId="19" w16cid:durableId="976447952">
    <w:abstractNumId w:val="0"/>
  </w:num>
  <w:num w:numId="20" w16cid:durableId="2102683227">
    <w:abstractNumId w:val="0"/>
  </w:num>
  <w:num w:numId="21" w16cid:durableId="1622154461">
    <w:abstractNumId w:val="9"/>
  </w:num>
  <w:num w:numId="22" w16cid:durableId="507988159">
    <w:abstractNumId w:val="7"/>
  </w:num>
  <w:num w:numId="23" w16cid:durableId="1953200096">
    <w:abstractNumId w:val="6"/>
  </w:num>
  <w:num w:numId="24" w16cid:durableId="442963600">
    <w:abstractNumId w:val="5"/>
  </w:num>
  <w:num w:numId="25" w16cid:durableId="1417746556">
    <w:abstractNumId w:val="4"/>
  </w:num>
  <w:num w:numId="26" w16cid:durableId="1418361436">
    <w:abstractNumId w:val="8"/>
  </w:num>
  <w:num w:numId="27" w16cid:durableId="1390808034">
    <w:abstractNumId w:val="3"/>
  </w:num>
  <w:num w:numId="28" w16cid:durableId="2088109341">
    <w:abstractNumId w:val="2"/>
  </w:num>
  <w:num w:numId="29" w16cid:durableId="990674188">
    <w:abstractNumId w:val="1"/>
  </w:num>
  <w:num w:numId="30" w16cid:durableId="475219346">
    <w:abstractNumId w:val="0"/>
  </w:num>
  <w:num w:numId="31" w16cid:durableId="1776513437">
    <w:abstractNumId w:val="9"/>
  </w:num>
  <w:num w:numId="32" w16cid:durableId="1074160220">
    <w:abstractNumId w:val="7"/>
  </w:num>
  <w:num w:numId="33" w16cid:durableId="311446633">
    <w:abstractNumId w:val="6"/>
  </w:num>
  <w:num w:numId="34" w16cid:durableId="230433587">
    <w:abstractNumId w:val="5"/>
  </w:num>
  <w:num w:numId="35" w16cid:durableId="1211066100">
    <w:abstractNumId w:val="4"/>
  </w:num>
  <w:num w:numId="36" w16cid:durableId="1790200889">
    <w:abstractNumId w:val="8"/>
  </w:num>
  <w:num w:numId="37" w16cid:durableId="2053650379">
    <w:abstractNumId w:val="3"/>
  </w:num>
  <w:num w:numId="38" w16cid:durableId="1520587043">
    <w:abstractNumId w:val="2"/>
  </w:num>
  <w:num w:numId="39" w16cid:durableId="1832134279">
    <w:abstractNumId w:val="1"/>
  </w:num>
  <w:num w:numId="40" w16cid:durableId="1396005855">
    <w:abstractNumId w:val="0"/>
  </w:num>
  <w:num w:numId="41" w16cid:durableId="65541817">
    <w:abstractNumId w:val="10"/>
  </w:num>
  <w:num w:numId="42" w16cid:durableId="1412923317">
    <w:abstractNumId w:val="10"/>
  </w:num>
  <w:num w:numId="43" w16cid:durableId="1049451091">
    <w:abstractNumId w:val="10"/>
  </w:num>
  <w:num w:numId="44" w16cid:durableId="540021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8/2025"/>
    <w:docVar w:name="dvlangue" w:val="DA"/>
    <w:docVar w:name="dvnumam" w:val="0"/>
    <w:docVar w:name="dvpe" w:val="776.828"/>
    <w:docVar w:name="dvrapporteur" w:val="Ordfører: "/>
    <w:docVar w:name="dvtitre" w:val="Europa-Parlamentets beslutning af xx. oktober 2025 om forslag til Europa-Parlamentets og Rådets afgørelse om mobilisering af Den Europæiske Fond for Tilpasning til Globaliseringen for Afskedigede Arbejdstagere på baggrund af en ansøgning fra Tyskland – EGF/2025/002 DE/Goodyear 2(COM(2025)0302 – C10-0182/2025 – 2025/0245(BUD))"/>
  </w:docVars>
  <w:rsids>
    <w:rsidRoot w:val="00960B8F"/>
    <w:rsid w:val="00002272"/>
    <w:rsid w:val="0002681C"/>
    <w:rsid w:val="00037302"/>
    <w:rsid w:val="00064002"/>
    <w:rsid w:val="000677B9"/>
    <w:rsid w:val="000831BA"/>
    <w:rsid w:val="000A18C1"/>
    <w:rsid w:val="000A42CC"/>
    <w:rsid w:val="000D780F"/>
    <w:rsid w:val="000E7DD9"/>
    <w:rsid w:val="0010095E"/>
    <w:rsid w:val="00125B37"/>
    <w:rsid w:val="00156489"/>
    <w:rsid w:val="00187494"/>
    <w:rsid w:val="001F32AE"/>
    <w:rsid w:val="00234AD2"/>
    <w:rsid w:val="00243E87"/>
    <w:rsid w:val="002767FF"/>
    <w:rsid w:val="00280F36"/>
    <w:rsid w:val="002B18FE"/>
    <w:rsid w:val="002B5493"/>
    <w:rsid w:val="003208AD"/>
    <w:rsid w:val="00343214"/>
    <w:rsid w:val="00361C00"/>
    <w:rsid w:val="00395FA1"/>
    <w:rsid w:val="003A0D10"/>
    <w:rsid w:val="003E15D4"/>
    <w:rsid w:val="00411CCE"/>
    <w:rsid w:val="0041666E"/>
    <w:rsid w:val="00421060"/>
    <w:rsid w:val="00471C19"/>
    <w:rsid w:val="004867E3"/>
    <w:rsid w:val="00494A28"/>
    <w:rsid w:val="004C0004"/>
    <w:rsid w:val="004C0D97"/>
    <w:rsid w:val="004C5D52"/>
    <w:rsid w:val="0050519A"/>
    <w:rsid w:val="005072A1"/>
    <w:rsid w:val="00514517"/>
    <w:rsid w:val="00545827"/>
    <w:rsid w:val="00560270"/>
    <w:rsid w:val="005C2568"/>
    <w:rsid w:val="005F1B17"/>
    <w:rsid w:val="006037C0"/>
    <w:rsid w:val="006631B6"/>
    <w:rsid w:val="00680577"/>
    <w:rsid w:val="00696F9C"/>
    <w:rsid w:val="006F74FA"/>
    <w:rsid w:val="00731ADD"/>
    <w:rsid w:val="00733F7E"/>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B8F"/>
    <w:rsid w:val="00981893"/>
    <w:rsid w:val="00986B71"/>
    <w:rsid w:val="00A1687D"/>
    <w:rsid w:val="00A43E52"/>
    <w:rsid w:val="00A4678D"/>
    <w:rsid w:val="00A778C7"/>
    <w:rsid w:val="00A90C7F"/>
    <w:rsid w:val="00AB441E"/>
    <w:rsid w:val="00AB6293"/>
    <w:rsid w:val="00AE0928"/>
    <w:rsid w:val="00AF3B82"/>
    <w:rsid w:val="00B02E8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699AC"/>
  <w15:chartTrackingRefBased/>
  <w15:docId w15:val="{D2E398B8-6C89-4DD3-8B3F-EC978F39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681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2681C"/>
    <w:pPr>
      <w:keepNext/>
      <w:spacing w:after="480"/>
      <w:jc w:val="center"/>
    </w:pPr>
    <w:rPr>
      <w:rFonts w:ascii="Arial" w:hAnsi="Arial" w:cs="Arial"/>
      <w:b/>
    </w:rPr>
  </w:style>
  <w:style w:type="paragraph" w:customStyle="1" w:styleId="NormalHanging12a">
    <w:name w:val="NormalHanging12a"/>
    <w:basedOn w:val="Normal"/>
    <w:link w:val="NormalHanging12aChar"/>
    <w:rsid w:val="0002681C"/>
    <w:pPr>
      <w:spacing w:after="240"/>
      <w:ind w:left="567" w:hanging="567"/>
    </w:pPr>
  </w:style>
  <w:style w:type="paragraph" w:styleId="Header">
    <w:name w:val="header"/>
    <w:basedOn w:val="Normal"/>
    <w:link w:val="HeaderChar"/>
    <w:rsid w:val="0002681C"/>
    <w:pPr>
      <w:tabs>
        <w:tab w:val="center" w:pos="4513"/>
        <w:tab w:val="right" w:pos="9026"/>
      </w:tabs>
    </w:pPr>
  </w:style>
  <w:style w:type="character" w:customStyle="1" w:styleId="HeaderChar">
    <w:name w:val="Header Char"/>
    <w:basedOn w:val="DefaultParagraphFont"/>
    <w:link w:val="Header"/>
    <w:rsid w:val="0002681C"/>
    <w:rPr>
      <w:sz w:val="24"/>
      <w:lang w:val="da-DK"/>
    </w:rPr>
  </w:style>
  <w:style w:type="paragraph" w:customStyle="1" w:styleId="NormalBold24a">
    <w:name w:val="NormalBold24a"/>
    <w:basedOn w:val="Normal"/>
    <w:rsid w:val="0002681C"/>
    <w:pPr>
      <w:spacing w:after="480"/>
    </w:pPr>
    <w:rPr>
      <w:b/>
      <w:bCs/>
    </w:rPr>
  </w:style>
  <w:style w:type="paragraph" w:customStyle="1" w:styleId="EPFooter">
    <w:name w:val="EPFooter"/>
    <w:basedOn w:val="Normal"/>
    <w:rsid w:val="0002681C"/>
    <w:pPr>
      <w:tabs>
        <w:tab w:val="center" w:pos="4535"/>
        <w:tab w:val="right" w:pos="9071"/>
      </w:tabs>
      <w:spacing w:before="240" w:after="240"/>
    </w:pPr>
    <w:rPr>
      <w:color w:val="010000"/>
      <w:sz w:val="22"/>
    </w:rPr>
  </w:style>
  <w:style w:type="paragraph" w:customStyle="1" w:styleId="EPComma">
    <w:name w:val="EPComma"/>
    <w:basedOn w:val="Normal"/>
    <w:rsid w:val="0002681C"/>
    <w:pPr>
      <w:spacing w:before="480" w:after="240"/>
    </w:pPr>
  </w:style>
  <w:style w:type="character" w:styleId="Hyperlink">
    <w:name w:val="Hyperlink"/>
    <w:basedOn w:val="DefaultParagraphFont"/>
    <w:rsid w:val="0002681C"/>
    <w:rPr>
      <w:color w:val="0563C1" w:themeColor="hyperlink"/>
      <w:u w:val="single"/>
    </w:rPr>
  </w:style>
  <w:style w:type="character" w:customStyle="1" w:styleId="NormalHanging12aChar">
    <w:name w:val="NormalHanging12a Char"/>
    <w:basedOn w:val="DefaultParagraphFont"/>
    <w:link w:val="NormalHanging12a"/>
    <w:locked/>
    <w:rsid w:val="0002681C"/>
    <w:rPr>
      <w:sz w:val="24"/>
      <w:lang w:val="da-DK"/>
    </w:rPr>
  </w:style>
  <w:style w:type="character" w:styleId="Emphasis">
    <w:name w:val="Emphasis"/>
    <w:basedOn w:val="DefaultParagraphFont"/>
    <w:uiPriority w:val="20"/>
    <w:qFormat/>
    <w:rsid w:val="0002681C"/>
    <w:rPr>
      <w:i/>
      <w:iCs/>
    </w:rPr>
  </w:style>
  <w:style w:type="paragraph" w:customStyle="1" w:styleId="Institutionquisigne">
    <w:name w:val="Institution qui signe"/>
    <w:basedOn w:val="Normal"/>
    <w:next w:val="Normal"/>
    <w:rsid w:val="0002681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2681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2681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2681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2681C"/>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2681C"/>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02681C"/>
    <w:rPr>
      <w:rFonts w:ascii="Arial" w:hAnsi="Arial" w:cs="Arial"/>
      <w:b/>
      <w:sz w:val="24"/>
      <w:lang w:val="da-DK"/>
    </w:rPr>
  </w:style>
  <w:style w:type="character" w:styleId="CommentReference">
    <w:name w:val="annotation reference"/>
    <w:basedOn w:val="DefaultParagraphFont"/>
    <w:rsid w:val="003208AD"/>
    <w:rPr>
      <w:sz w:val="16"/>
      <w:szCs w:val="16"/>
    </w:rPr>
  </w:style>
  <w:style w:type="paragraph" w:styleId="CommentText">
    <w:name w:val="annotation text"/>
    <w:basedOn w:val="Normal"/>
    <w:link w:val="CommentTextChar"/>
    <w:rsid w:val="003208AD"/>
    <w:rPr>
      <w:sz w:val="20"/>
    </w:rPr>
  </w:style>
  <w:style w:type="character" w:customStyle="1" w:styleId="CommentTextChar">
    <w:name w:val="Comment Text Char"/>
    <w:basedOn w:val="DefaultParagraphFont"/>
    <w:link w:val="CommentText"/>
    <w:rsid w:val="003208AD"/>
    <w:rPr>
      <w:lang w:val="da-DK"/>
    </w:rPr>
  </w:style>
  <w:style w:type="paragraph" w:styleId="CommentSubject">
    <w:name w:val="annotation subject"/>
    <w:basedOn w:val="CommentText"/>
    <w:next w:val="CommentText"/>
    <w:link w:val="CommentSubjectChar"/>
    <w:rsid w:val="003208AD"/>
    <w:rPr>
      <w:b/>
      <w:bCs/>
    </w:rPr>
  </w:style>
  <w:style w:type="character" w:customStyle="1" w:styleId="CommentSubjectChar">
    <w:name w:val="Comment Subject Char"/>
    <w:basedOn w:val="CommentTextChar"/>
    <w:link w:val="CommentSubject"/>
    <w:rsid w:val="003208AD"/>
    <w:rPr>
      <w:b/>
      <w:bCs/>
      <w:lang w:val="da-DK"/>
    </w:rPr>
  </w:style>
  <w:style w:type="paragraph" w:styleId="Revision">
    <w:name w:val="Revision"/>
    <w:hidden/>
    <w:uiPriority w:val="99"/>
    <w:semiHidden/>
    <w:rsid w:val="003208AD"/>
    <w:rPr>
      <w:sz w:val="24"/>
      <w:lang w:val="da-DK"/>
    </w:rPr>
  </w:style>
  <w:style w:type="paragraph" w:styleId="BalloonText">
    <w:name w:val="Balloon Text"/>
    <w:basedOn w:val="Normal"/>
    <w:link w:val="BalloonTextChar"/>
    <w:rsid w:val="00280F36"/>
    <w:rPr>
      <w:rFonts w:ascii="Segoe UI" w:hAnsi="Segoe UI" w:cs="Segoe UI"/>
      <w:sz w:val="18"/>
      <w:szCs w:val="18"/>
    </w:rPr>
  </w:style>
  <w:style w:type="character" w:customStyle="1" w:styleId="BalloonTextChar">
    <w:name w:val="Balloon Text Char"/>
    <w:basedOn w:val="DefaultParagraphFont"/>
    <w:link w:val="BalloonText"/>
    <w:rsid w:val="00280F3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E4C04-A721-4A2E-BE5B-028A2ECCF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1602</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2025-12-15T08:51:00Z</dcterms:created>
  <dcterms:modified xsi:type="dcterms:W3CDTF">2025-12-15T08:51:00Z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P10_TA(2025)0219_</vt:lpwstr>
  </property>
  <property fmtid="{D5CDD505-2E9C-101B-9397-08002B2CF9AE}" pid="4" name="&lt;Type&gt;">
    <vt:lpwstr>RR</vt:lpwstr>
  </property>
</Properties>
</file>