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5408" w14:paraId="636712E2" w14:textId="77777777" w:rsidTr="0010095E">
        <w:trPr>
          <w:trHeight w:hRule="exact" w:val="1418"/>
        </w:trPr>
        <w:tc>
          <w:tcPr>
            <w:tcW w:w="6804" w:type="dxa"/>
            <w:shd w:val="clear" w:color="auto" w:fill="auto"/>
            <w:vAlign w:val="center"/>
          </w:tcPr>
          <w:p w14:paraId="3A933370" w14:textId="77777777" w:rsidR="00751A4A" w:rsidRPr="00DE5408" w:rsidRDefault="00CC4838" w:rsidP="0010095E">
            <w:pPr>
              <w:pStyle w:val="EPName"/>
            </w:pPr>
            <w:r w:rsidRPr="00DE5408">
              <w:t>Euroopan parlamentti</w:t>
            </w:r>
          </w:p>
          <w:p w14:paraId="3C292568" w14:textId="77777777" w:rsidR="00751A4A" w:rsidRPr="00DE5408" w:rsidRDefault="005F1B17" w:rsidP="005F1B17">
            <w:pPr>
              <w:pStyle w:val="EPTerm"/>
              <w:rPr>
                <w:rStyle w:val="HideTWBExt"/>
                <w:noProof w:val="0"/>
                <w:vanish w:val="0"/>
                <w:color w:val="auto"/>
              </w:rPr>
            </w:pPr>
            <w:r w:rsidRPr="00DE5408">
              <w:t>2024</w:t>
            </w:r>
            <w:r w:rsidR="00817416" w:rsidRPr="00DE5408">
              <w:t>-202</w:t>
            </w:r>
            <w:r w:rsidRPr="00DE5408">
              <w:t>9</w:t>
            </w:r>
          </w:p>
        </w:tc>
        <w:tc>
          <w:tcPr>
            <w:tcW w:w="2268" w:type="dxa"/>
            <w:shd w:val="clear" w:color="auto" w:fill="auto"/>
          </w:tcPr>
          <w:p w14:paraId="118CD8D5" w14:textId="77777777" w:rsidR="00751A4A" w:rsidRPr="00DE5408" w:rsidRDefault="00187494" w:rsidP="0010095E">
            <w:pPr>
              <w:pStyle w:val="EPLogo"/>
            </w:pPr>
            <w:r w:rsidRPr="00DE5408">
              <w:rPr>
                <w:noProof/>
                <w:lang w:eastAsia="ja-JP"/>
              </w:rPr>
              <w:drawing>
                <wp:inline distT="0" distB="0" distL="0" distR="0" wp14:anchorId="2AC396F6" wp14:editId="2C832B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4C4817" w14:textId="77777777" w:rsidR="00D058B8" w:rsidRPr="00DE5408" w:rsidRDefault="00D058B8" w:rsidP="004C5D52">
      <w:pPr>
        <w:pStyle w:val="LineTop"/>
      </w:pPr>
    </w:p>
    <w:p w14:paraId="7D76419D" w14:textId="77777777" w:rsidR="00680577" w:rsidRPr="00DE5408" w:rsidRDefault="00CC4838" w:rsidP="00680577">
      <w:pPr>
        <w:pStyle w:val="EPBodyTA1"/>
      </w:pPr>
      <w:r w:rsidRPr="00DE5408">
        <w:t>HYVÄKSYTYT TEKSTIT</w:t>
      </w:r>
    </w:p>
    <w:p w14:paraId="3CC02B22" w14:textId="77777777" w:rsidR="00D058B8" w:rsidRPr="00DE5408" w:rsidRDefault="00D058B8" w:rsidP="00D058B8">
      <w:pPr>
        <w:pStyle w:val="LineBottom"/>
      </w:pPr>
    </w:p>
    <w:p w14:paraId="33437E03" w14:textId="7ED7C473" w:rsidR="00CC4838" w:rsidRPr="00DE5408" w:rsidRDefault="00CC4838" w:rsidP="00CC4838">
      <w:pPr>
        <w:pStyle w:val="ATHeading1"/>
      </w:pPr>
      <w:bookmarkStart w:id="0" w:name="TANumber"/>
      <w:r w:rsidRPr="00DE5408">
        <w:t>P10_TA(2025)0</w:t>
      </w:r>
      <w:bookmarkEnd w:id="0"/>
      <w:r w:rsidR="0097369B">
        <w:t>219</w:t>
      </w:r>
    </w:p>
    <w:p w14:paraId="3F45F795" w14:textId="66A4409E" w:rsidR="00CC4838" w:rsidRPr="00DE5408" w:rsidRDefault="001835EE" w:rsidP="001835EE">
      <w:pPr>
        <w:pStyle w:val="ATHeading2"/>
      </w:pPr>
      <w:bookmarkStart w:id="1" w:name="title"/>
      <w:r w:rsidRPr="001835EE">
        <w:rPr>
          <w:bCs/>
        </w:rPr>
        <w:t xml:space="preserve">Euroopan globalisaatiorahaston varojen käyttöönotto: hakemus EGF/2025/002 DE/Goodyear 2 </w:t>
      </w:r>
      <w:r w:rsidR="0097369B">
        <w:rPr>
          <w:bCs/>
        </w:rPr>
        <w:t>–</w:t>
      </w:r>
      <w:r>
        <w:rPr>
          <w:bCs/>
        </w:rPr>
        <w:t xml:space="preserve"> </w:t>
      </w:r>
      <w:r w:rsidRPr="001835EE">
        <w:rPr>
          <w:bCs/>
        </w:rPr>
        <w:t>Saksa</w:t>
      </w:r>
      <w:bookmarkEnd w:id="1"/>
    </w:p>
    <w:p w14:paraId="7A37D555" w14:textId="77777777" w:rsidR="00CC4838" w:rsidRPr="00DE5408" w:rsidRDefault="00CC4838" w:rsidP="00CC4838">
      <w:pPr>
        <w:rPr>
          <w:i/>
          <w:vanish/>
        </w:rPr>
      </w:pPr>
      <w:r w:rsidRPr="00DE5408">
        <w:rPr>
          <w:i/>
        </w:rPr>
        <w:fldChar w:fldCharType="begin"/>
      </w:r>
      <w:r w:rsidRPr="00DE5408">
        <w:rPr>
          <w:i/>
        </w:rPr>
        <w:instrText xml:space="preserve"> TC"(</w:instrText>
      </w:r>
      <w:bookmarkStart w:id="2" w:name="DocNumber"/>
      <w:r w:rsidRPr="00DE5408">
        <w:rPr>
          <w:i/>
        </w:rPr>
        <w:instrText>A10-0168/2025</w:instrText>
      </w:r>
      <w:bookmarkEnd w:id="2"/>
      <w:r w:rsidRPr="00DE5408">
        <w:rPr>
          <w:i/>
        </w:rPr>
        <w:instrText xml:space="preserve"> - Esittelijä: Olivier Chastel)"\l3 \n&gt; \* MERGEFORMAT </w:instrText>
      </w:r>
      <w:r w:rsidRPr="00DE5408">
        <w:rPr>
          <w:i/>
        </w:rPr>
        <w:fldChar w:fldCharType="end"/>
      </w:r>
    </w:p>
    <w:p w14:paraId="4B0025A6" w14:textId="77777777" w:rsidR="00CC4838" w:rsidRPr="00DE5408" w:rsidRDefault="00CC4838" w:rsidP="00CC4838">
      <w:pPr>
        <w:rPr>
          <w:vanish/>
        </w:rPr>
      </w:pPr>
      <w:bookmarkStart w:id="3" w:name="Commission"/>
      <w:r w:rsidRPr="00DE5408">
        <w:rPr>
          <w:vanish/>
        </w:rPr>
        <w:t>Budjettivaliokunta</w:t>
      </w:r>
      <w:bookmarkEnd w:id="3"/>
    </w:p>
    <w:p w14:paraId="5FB1303D" w14:textId="77777777" w:rsidR="00CC4838" w:rsidRPr="00DE5408" w:rsidRDefault="00CC4838" w:rsidP="00CC4838">
      <w:pPr>
        <w:rPr>
          <w:vanish/>
        </w:rPr>
      </w:pPr>
      <w:bookmarkStart w:id="4" w:name="PE"/>
      <w:r w:rsidRPr="00DE5408">
        <w:rPr>
          <w:vanish/>
        </w:rPr>
        <w:t>PE776.828</w:t>
      </w:r>
      <w:bookmarkEnd w:id="4"/>
    </w:p>
    <w:p w14:paraId="2B947352" w14:textId="2A1824D6" w:rsidR="00CC4838" w:rsidRPr="00DE5408" w:rsidRDefault="00CC4838" w:rsidP="00CC4838">
      <w:pPr>
        <w:pStyle w:val="ATHeading3"/>
      </w:pPr>
      <w:bookmarkStart w:id="5" w:name="Sujet"/>
      <w:r w:rsidRPr="00DE5408">
        <w:t>Euroopan parlamentin päätös</w:t>
      </w:r>
      <w:r w:rsidR="0085567F">
        <w:t>lauselma</w:t>
      </w:r>
      <w:r w:rsidRPr="00DE5408">
        <w:t xml:space="preserve"> </w:t>
      </w:r>
      <w:r w:rsidR="001835EE">
        <w:t>8</w:t>
      </w:r>
      <w:r w:rsidRPr="00DE5408">
        <w:t>. lokakuuta 2025 ehdotuksesta Euroopan parlamentin ja neuvoston päätökseksi työttömiksi jääneitä työntekijöitä tukevan Euroopan globalisaatiorahaston varojen käyttöönotosta Saksan hakemuksen johdosta – EGF/2025/002 DE/Goodyear 2</w:t>
      </w:r>
      <w:bookmarkEnd w:id="5"/>
      <w:r w:rsidRPr="00DE5408">
        <w:t xml:space="preserve"> </w:t>
      </w:r>
      <w:bookmarkStart w:id="6" w:name="References"/>
      <w:r w:rsidRPr="00DE5408">
        <w:t>(COM(2025)0302 – C10-0182/</w:t>
      </w:r>
      <w:proofErr w:type="gramStart"/>
      <w:r w:rsidRPr="00DE5408">
        <w:t>2025 – 2025</w:t>
      </w:r>
      <w:proofErr w:type="gramEnd"/>
      <w:r w:rsidRPr="00DE5408">
        <w:t>/0245(BUD))</w:t>
      </w:r>
      <w:bookmarkEnd w:id="6"/>
    </w:p>
    <w:p w14:paraId="2F443CD2" w14:textId="77777777" w:rsidR="008E134C" w:rsidRPr="00DE5408" w:rsidRDefault="008E134C" w:rsidP="001835EE">
      <w:pPr>
        <w:pStyle w:val="EPComma"/>
        <w:widowControl/>
        <w:rPr>
          <w:noProof/>
        </w:rPr>
      </w:pPr>
      <w:r w:rsidRPr="00DE5408">
        <w:rPr>
          <w:i/>
          <w:iCs/>
        </w:rPr>
        <w:t>Euroopan parlamentti</w:t>
      </w:r>
      <w:r w:rsidRPr="00DE5408">
        <w:t>, joka</w:t>
      </w:r>
    </w:p>
    <w:p w14:paraId="67DDFDAF" w14:textId="77777777" w:rsidR="008E134C" w:rsidRPr="00DE5408" w:rsidRDefault="008E134C" w:rsidP="001835EE">
      <w:pPr>
        <w:pStyle w:val="NormalHanging12a"/>
        <w:widowControl/>
        <w:rPr>
          <w:noProof/>
        </w:rPr>
      </w:pPr>
      <w:r w:rsidRPr="00DE5408">
        <w:t>–</w:t>
      </w:r>
      <w:r w:rsidRPr="00DE5408">
        <w:tab/>
        <w:t>ottaa huomioon komission ehdotuksen Euroopan parlamentille ja neuvostolle (COM(2025)0302 – C10-0182/2025),</w:t>
      </w:r>
    </w:p>
    <w:p w14:paraId="4A5A01A8" w14:textId="77777777" w:rsidR="008E134C" w:rsidRPr="00DE5408" w:rsidRDefault="008E134C" w:rsidP="001835EE">
      <w:pPr>
        <w:pStyle w:val="NormalHanging12a"/>
        <w:widowControl/>
        <w:rPr>
          <w:noProof/>
        </w:rPr>
      </w:pPr>
      <w:r w:rsidRPr="00DE5408">
        <w:t>–</w:t>
      </w:r>
      <w:r w:rsidRPr="00DE5408">
        <w:tab/>
        <w:t>ottaa huomioon Euroopan globalisaatiorahastosta (EGR) työttömiksi jääneille työntekijöille ja asetuksen (EU) N:o 1309/2013 kumoamisesta 28. huhtikuuta 2021 annetun Euroopan parlamentin ja neuvoston asetuksen (EU) 2021/691</w:t>
      </w:r>
      <w:r w:rsidRPr="00DE5408">
        <w:rPr>
          <w:rStyle w:val="FootnoteReference"/>
          <w:noProof/>
        </w:rPr>
        <w:footnoteReference w:id="1"/>
      </w:r>
      <w:r w:rsidRPr="00DE5408">
        <w:t>, jäljempänä ’EGR-asetus’,</w:t>
      </w:r>
    </w:p>
    <w:p w14:paraId="79FE7720" w14:textId="77777777" w:rsidR="008E134C" w:rsidRPr="00DE5408" w:rsidRDefault="008E134C" w:rsidP="001835EE">
      <w:pPr>
        <w:pStyle w:val="NormalHanging12a"/>
        <w:widowControl/>
        <w:rPr>
          <w:noProof/>
        </w:rPr>
      </w:pPr>
      <w:r w:rsidRPr="00DE5408">
        <w:t>–</w:t>
      </w:r>
      <w:r w:rsidRPr="00DE5408">
        <w:tab/>
        <w:t>ottaa huomioon vuosia 2021–2027</w:t>
      </w:r>
      <w:r w:rsidRPr="00DE5408">
        <w:rPr>
          <w:rStyle w:val="FootnoteReference"/>
          <w:noProof/>
        </w:rPr>
        <w:footnoteReference w:id="2"/>
      </w:r>
      <w:r w:rsidRPr="00DE5408">
        <w:t xml:space="preserve"> koskevan monivuotisen rahoituskehyksen vahvistamisesta 17. joulukuuta 2020 annetun neuvoston asetuksen (EU, Euratom) 2020/2093, sellaisena kun se on muutettuna asetuksella (EU, Euratom) 2024/765</w:t>
      </w:r>
      <w:r w:rsidRPr="00DE5408">
        <w:rPr>
          <w:rStyle w:val="FootnoteReference"/>
          <w:bdr w:val="none" w:sz="0" w:space="0" w:color="auto" w:frame="1"/>
        </w:rPr>
        <w:footnoteReference w:id="3"/>
      </w:r>
      <w:r w:rsidRPr="00DE5408">
        <w:t>, ja erityisesti sen 8 artiklan,</w:t>
      </w:r>
    </w:p>
    <w:p w14:paraId="322CF273" w14:textId="77777777" w:rsidR="008E134C" w:rsidRPr="00DE5408" w:rsidRDefault="008E134C" w:rsidP="001835EE">
      <w:pPr>
        <w:pStyle w:val="NormalHanging12a"/>
        <w:widowControl/>
        <w:rPr>
          <w:noProof/>
        </w:rPr>
      </w:pPr>
      <w:r w:rsidRPr="00DE5408">
        <w:t>–</w:t>
      </w:r>
      <w:r w:rsidRPr="00DE5408">
        <w:tab/>
        <w:t xml:space="preserve">ottaa huomioon talousarviota koskevasta kurinalaisuudesta, talousarvioyhteistyöstä ja moitteettomasta varainhoidosta sekä uusista omista varoista, mukaan lukien etenemissuunnitelma uusien omien varojen käyttöönottamiseksi, 16. joulukuuta 2020 </w:t>
      </w:r>
      <w:r w:rsidRPr="00DE5408">
        <w:lastRenderedPageBreak/>
        <w:t>tehdyn Euroopan parlamentin, Euroopan unionin neuvoston ja Euroopan komission välisen toimielinten sopimuksen</w:t>
      </w:r>
      <w:r w:rsidRPr="00DE5408">
        <w:rPr>
          <w:rStyle w:val="FootnoteReference"/>
          <w:noProof/>
        </w:rPr>
        <w:footnoteReference w:id="4"/>
      </w:r>
      <w:r w:rsidRPr="00DE5408">
        <w:t xml:space="preserve"> ja erityisesti sen 9 kohdan,</w:t>
      </w:r>
    </w:p>
    <w:p w14:paraId="015DE7F1" w14:textId="77777777" w:rsidR="008E134C" w:rsidRPr="00DE5408" w:rsidRDefault="008E134C" w:rsidP="001835EE">
      <w:pPr>
        <w:pStyle w:val="NormalHanging12a"/>
        <w:widowControl/>
        <w:rPr>
          <w:noProof/>
        </w:rPr>
      </w:pPr>
      <w:r w:rsidRPr="00DE5408">
        <w:t>–</w:t>
      </w:r>
      <w:r w:rsidRPr="00DE5408">
        <w:tab/>
        <w:t>ottaa huomioon työllisyyden ja sosiaaliasioiden valiokunnan kirjeen,</w:t>
      </w:r>
    </w:p>
    <w:p w14:paraId="0A97CAF1" w14:textId="77777777" w:rsidR="008E134C" w:rsidRPr="00DE5408" w:rsidRDefault="008E134C" w:rsidP="001835EE">
      <w:pPr>
        <w:pStyle w:val="NormalHanging12a"/>
        <w:widowControl/>
      </w:pPr>
      <w:r w:rsidRPr="00DE5408">
        <w:t>–</w:t>
      </w:r>
      <w:r w:rsidRPr="00DE5408">
        <w:tab/>
        <w:t>ottaa huomioon budjettivaliokunnan mietinnön (A10-0168/2025),</w:t>
      </w:r>
    </w:p>
    <w:p w14:paraId="7C51307A" w14:textId="77777777" w:rsidR="008E134C" w:rsidRPr="00DE5408" w:rsidRDefault="008E134C" w:rsidP="001835EE">
      <w:pPr>
        <w:pStyle w:val="NormalHanging12a"/>
        <w:widowControl/>
        <w:rPr>
          <w:noProof/>
        </w:rPr>
      </w:pPr>
      <w:r w:rsidRPr="00DE5408">
        <w:t>A.</w:t>
      </w:r>
      <w:r w:rsidRPr="00DE5408">
        <w:tab/>
        <w:t>ottaa huomioon, että unioni on ottanut käyttöön lainsäädäntö- ja budjettivälineitä voidakseen tarjota lisätukea työntekijöille, jotka kärsivät maailmankaupan huomattavien rakenteellisten muutosten tai maailmanlaajuisen talous- ja rahoituskriisin seurauksista, ja auttaakseen heitä integroitumaan uudelleen työmarkkinoille; toteaa, että tuki annetaan rahoitustukena työntekijöille ja yrityksille, joiden palveluksessa he ovat työskennelleet;</w:t>
      </w:r>
    </w:p>
    <w:p w14:paraId="51BDB51D" w14:textId="77777777" w:rsidR="008E134C" w:rsidRPr="00DE5408" w:rsidRDefault="008E134C" w:rsidP="001835EE">
      <w:pPr>
        <w:pStyle w:val="NormalHanging12a"/>
        <w:widowControl/>
      </w:pPr>
      <w:r w:rsidRPr="00DE5408">
        <w:t>B.</w:t>
      </w:r>
      <w:r w:rsidRPr="00DE5408">
        <w:tab/>
        <w:t xml:space="preserve">ottaa huomioon, että Saksa toimitti hakemuksen EGF/2025/002 DE/Goodyear 2 rahoitustuen saamiseksi Euroopan globalisaatiorahastosta (EGR) sen jälkeen, kun NACE </w:t>
      </w:r>
      <w:proofErr w:type="spellStart"/>
      <w:r w:rsidRPr="00DE5408">
        <w:t>Rev</w:t>
      </w:r>
      <w:proofErr w:type="spellEnd"/>
      <w:r w:rsidRPr="00DE5408">
        <w:t xml:space="preserve">. 2:n kaksinumerotasoon 22 (Kumi- ja muovituotteiden valmistus) luokitellulla toimialalla </w:t>
      </w:r>
      <w:proofErr w:type="spellStart"/>
      <w:r w:rsidRPr="00DE5408">
        <w:t>Kasselin</w:t>
      </w:r>
      <w:proofErr w:type="spellEnd"/>
      <w:r w:rsidRPr="00DE5408">
        <w:t xml:space="preserve"> (DE73) ja </w:t>
      </w:r>
      <w:proofErr w:type="spellStart"/>
      <w:r w:rsidRPr="00DE5408">
        <w:t>Darmstadtin</w:t>
      </w:r>
      <w:proofErr w:type="spellEnd"/>
      <w:r w:rsidRPr="00DE5408">
        <w:t xml:space="preserve"> (DE71) alueilla toimivasta yrityksestä oli vähennetty yhteensä 1 171 työntekijää</w:t>
      </w:r>
      <w:r w:rsidRPr="00DE5408">
        <w:rPr>
          <w:rStyle w:val="FootnoteReference"/>
        </w:rPr>
        <w:footnoteReference w:id="5"/>
      </w:r>
      <w:r w:rsidRPr="00DE5408">
        <w:t>, joista viiteajanjakson 1. syyskuuta 2024 – 1. tammikuuta 2025 aikana 747 työntekijää ja ennen viiteajanjaksoa tai sen jälkeen 424 työntekijää;</w:t>
      </w:r>
    </w:p>
    <w:p w14:paraId="75D9F445" w14:textId="7DA8E813" w:rsidR="008E134C" w:rsidRPr="00DE5408" w:rsidRDefault="008E134C" w:rsidP="001835EE">
      <w:pPr>
        <w:pStyle w:val="NormalHanging12a"/>
        <w:widowControl/>
      </w:pPr>
      <w:r w:rsidRPr="00DE5408">
        <w:t>C.</w:t>
      </w:r>
      <w:r w:rsidRPr="00DE5408">
        <w:tab/>
        <w:t xml:space="preserve">ottaa huomioon, että niiden 424:n työttömäksi jääneen työntekijän, joiden työskentely loppui ennen neljän kuukauden viiteajanjaksoa tai sen jälkeen, kohdalla on selkeä syy-yhteys tapahtumaan, joka aiheutti työttömiksi jääneiden työntekijöiden työskentelyn loppumisen viiteajanjakson aikana, kuten </w:t>
      </w:r>
      <w:r w:rsidR="009155A9">
        <w:t>EGR-as</w:t>
      </w:r>
      <w:r w:rsidRPr="00DE5408">
        <w:t>etuksen 6 artiklan toisessa kohdassa edellytetään;</w:t>
      </w:r>
    </w:p>
    <w:p w14:paraId="457CF9FF" w14:textId="77777777" w:rsidR="008E134C" w:rsidRPr="00DE5408" w:rsidRDefault="008E134C" w:rsidP="001835EE">
      <w:pPr>
        <w:pStyle w:val="NormalHanging12a"/>
        <w:widowControl/>
      </w:pPr>
      <w:r w:rsidRPr="00DE5408">
        <w:t>D.</w:t>
      </w:r>
      <w:r w:rsidRPr="00DE5408">
        <w:tab/>
        <w:t>ottaa huomioon, että hakemus perustuu EGR-asetuksen 4 artiklan 2 kohdan a alakohdan toimintakriteeriin, jossa edellytyksenä on vähintään 200:n työttömäksi jääneen työntekijän tai itsenäisen ammatinharjoittajan työskentelyn loppuminen neljän kuukauden viiteajanjakson aikana jäsenvaltiossa sijaitsevassa yrityksessä, mukaan luettuina työntekijät, jotka vähennetään yrityksen toimittajien tai jatkojalostajien palveluksesta;</w:t>
      </w:r>
    </w:p>
    <w:p w14:paraId="668F7A16" w14:textId="76FF993F" w:rsidR="008E134C" w:rsidRPr="00DE5408" w:rsidRDefault="008E134C" w:rsidP="001835EE">
      <w:pPr>
        <w:pStyle w:val="NormalHanging12a"/>
        <w:widowControl/>
        <w:rPr>
          <w:noProof/>
          <w:color w:val="7030A0"/>
        </w:rPr>
      </w:pPr>
      <w:r w:rsidRPr="00DE5408">
        <w:t>E.</w:t>
      </w:r>
      <w:r w:rsidRPr="00DE5408">
        <w:tab/>
        <w:t xml:space="preserve">ottaa huomioon, että Venäjän hyökkäyssota Ukrainaa vastaan ja inflaation kiihtyminen ovat vaikuttaneet energia-, materiaali- ja työvoimakustannuksiin, mikä on lisännyt </w:t>
      </w:r>
      <w:r w:rsidR="001835EE" w:rsidRPr="00DE5408">
        <w:t>Goodyear-</w:t>
      </w:r>
      <w:r w:rsidRPr="00DE5408">
        <w:t>yrityksen marginaaleihin kohdistuvaa painetta;</w:t>
      </w:r>
    </w:p>
    <w:p w14:paraId="294B7EA7" w14:textId="77777777" w:rsidR="008E134C" w:rsidRPr="00DE5408" w:rsidRDefault="008E134C" w:rsidP="001835EE">
      <w:pPr>
        <w:pStyle w:val="NormalHanging12a"/>
        <w:widowControl/>
        <w:rPr>
          <w:noProof/>
        </w:rPr>
      </w:pPr>
      <w:r w:rsidRPr="00DE5408">
        <w:t>F.</w:t>
      </w:r>
      <w:r w:rsidRPr="00DE5408">
        <w:tab/>
        <w:t xml:space="preserve">toteaa, että Goodyear Germany </w:t>
      </w:r>
      <w:proofErr w:type="spellStart"/>
      <w:r w:rsidRPr="00DE5408">
        <w:t>GmbH</w:t>
      </w:r>
      <w:proofErr w:type="spellEnd"/>
      <w:r w:rsidRPr="00DE5408">
        <w:t xml:space="preserve"> on erikoistunut kumi- ja muovituotteiden, erityisesti renkaiden, valmistukseen; ottaa huomioon, että Aasian halpatuonnin kiihdyttämä kilpailu on vaikuttanut yritykseen merkittävästi;</w:t>
      </w:r>
    </w:p>
    <w:p w14:paraId="50468C48" w14:textId="58539F1E" w:rsidR="008E134C" w:rsidRPr="00DE5408" w:rsidRDefault="008E134C" w:rsidP="001835EE">
      <w:pPr>
        <w:pStyle w:val="NormalHanging12a"/>
        <w:widowControl/>
        <w:rPr>
          <w:noProof/>
        </w:rPr>
      </w:pPr>
      <w:r w:rsidRPr="00DE5408">
        <w:t>G.</w:t>
      </w:r>
      <w:r w:rsidRPr="00DE5408">
        <w:tab/>
        <w:t xml:space="preserve">ottaa huomioon, että kyseessä on toinen kerta, kun Saksan viranomaiset pyytävät </w:t>
      </w:r>
      <w:proofErr w:type="spellStart"/>
      <w:r w:rsidRPr="00DE5408">
        <w:t>EGR:n</w:t>
      </w:r>
      <w:proofErr w:type="spellEnd"/>
      <w:r w:rsidRPr="00DE5408">
        <w:t xml:space="preserve"> varojen käyttöönottoa Goodyear-yrityksen rakenneuudistuksen jälkeen, sillä EGR varoja otettiin käyttöön sen jälkeen, kun yritys sulki </w:t>
      </w:r>
      <w:r w:rsidR="001835EE">
        <w:t xml:space="preserve">yhden yrityksen </w:t>
      </w:r>
      <w:r w:rsidRPr="00DE5408">
        <w:t>tehta</w:t>
      </w:r>
      <w:r w:rsidR="001835EE">
        <w:t>ista</w:t>
      </w:r>
      <w:r w:rsidRPr="00DE5408">
        <w:t xml:space="preserve"> </w:t>
      </w:r>
      <w:proofErr w:type="spellStart"/>
      <w:r w:rsidRPr="00DE5408">
        <w:t>Philippsburgissa</w:t>
      </w:r>
      <w:proofErr w:type="spellEnd"/>
      <w:r w:rsidRPr="00DE5408">
        <w:t xml:space="preserve"> vuonna 2017;</w:t>
      </w:r>
    </w:p>
    <w:p w14:paraId="3D80882A" w14:textId="77777777" w:rsidR="008E134C" w:rsidRPr="00DE5408" w:rsidRDefault="008E134C" w:rsidP="001835EE">
      <w:pPr>
        <w:pStyle w:val="NormalHanging12a"/>
        <w:widowControl/>
        <w:rPr>
          <w:noProof/>
        </w:rPr>
      </w:pPr>
      <w:r w:rsidRPr="00DE5408">
        <w:t>H.</w:t>
      </w:r>
      <w:r w:rsidRPr="00DE5408">
        <w:rPr>
          <w:color w:val="7030A0"/>
        </w:rPr>
        <w:tab/>
      </w:r>
      <w:r w:rsidRPr="00DE5408">
        <w:t xml:space="preserve">ottaa huomioon, että kysynnän nopea väheneminen yhdistettynä tuotantokustannusten nousuun johti siihen, että yritys joutui aloittamaan rakenneuudistusprosessin, johon </w:t>
      </w:r>
      <w:r w:rsidRPr="00DE5408">
        <w:lastRenderedPageBreak/>
        <w:t>kuului yhden sen tuotantolaitoksen sulkeminen ja toisen osittainen sulkeminen Saksassa vuonna 2024;</w:t>
      </w:r>
    </w:p>
    <w:p w14:paraId="06F47D37" w14:textId="77777777" w:rsidR="008E134C" w:rsidRPr="00DE5408" w:rsidRDefault="008E134C" w:rsidP="001835EE">
      <w:pPr>
        <w:pStyle w:val="NormalHanging12a"/>
        <w:widowControl/>
        <w:jc w:val="both"/>
      </w:pPr>
      <w:r w:rsidRPr="00DE5408">
        <w:t>I.</w:t>
      </w:r>
      <w:r w:rsidRPr="00DE5408">
        <w:tab/>
        <w:t>ottaa huomioon, että toimille saadaan kansallista ennakko- ja yhteisrahoitusta Saksan liittovaltion ja työvoimaviranomaisen (</w:t>
      </w:r>
      <w:proofErr w:type="spellStart"/>
      <w:r w:rsidRPr="00DE5408">
        <w:t>Bundesagentur</w:t>
      </w:r>
      <w:proofErr w:type="spellEnd"/>
      <w:r w:rsidRPr="00DE5408">
        <w:t xml:space="preserve"> </w:t>
      </w:r>
      <w:proofErr w:type="spellStart"/>
      <w:r w:rsidRPr="00DE5408">
        <w:t>für</w:t>
      </w:r>
      <w:proofErr w:type="spellEnd"/>
      <w:r w:rsidRPr="00DE5408">
        <w:t xml:space="preserve"> </w:t>
      </w:r>
      <w:proofErr w:type="spellStart"/>
      <w:r w:rsidRPr="00DE5408">
        <w:t>Arbeit</w:t>
      </w:r>
      <w:proofErr w:type="spellEnd"/>
      <w:r w:rsidRPr="00DE5408">
        <w:t>) talousarvioista;</w:t>
      </w:r>
    </w:p>
    <w:p w14:paraId="6C74652B" w14:textId="77777777" w:rsidR="008E134C" w:rsidRPr="00DE5408" w:rsidRDefault="008E134C" w:rsidP="001835EE">
      <w:pPr>
        <w:pStyle w:val="NormalHanging12a"/>
        <w:widowControl/>
        <w:jc w:val="both"/>
      </w:pPr>
      <w:r w:rsidRPr="00DE5408">
        <w:t>J.</w:t>
      </w:r>
      <w:r w:rsidRPr="00DE5408">
        <w:tab/>
        <w:t>ottaa huomioon, että kansallisessa ja unionin lainsäädännössä joukkovähentämisistä säädettyjä vaatimuksia on noudatettu;</w:t>
      </w:r>
    </w:p>
    <w:p w14:paraId="485A19AF" w14:textId="77777777" w:rsidR="008E134C" w:rsidRPr="00DE5408" w:rsidRDefault="008E134C" w:rsidP="001835EE">
      <w:pPr>
        <w:pStyle w:val="NormalHanging12a"/>
        <w:widowControl/>
      </w:pPr>
      <w:r w:rsidRPr="00DE5408">
        <w:t>K.</w:t>
      </w:r>
      <w:r w:rsidRPr="00DE5408">
        <w:tab/>
        <w:t xml:space="preserve">toteaa, että </w:t>
      </w:r>
      <w:proofErr w:type="spellStart"/>
      <w:r w:rsidRPr="00DE5408">
        <w:t>EGR:n</w:t>
      </w:r>
      <w:proofErr w:type="spellEnd"/>
      <w:r w:rsidRPr="00DE5408">
        <w:t xml:space="preserve"> rahoitustuki olisi osoitettava ensisijaisesti aktiivisiin työvoimapoliittisiin toimenpiteisiin ja yksilöllisiin palveluihin, joilla pyritään integroimaan edunsaajat nopeasti takaisin hyviin ja kestäviin työpaikkoihin joko entisellä tai jollain muulla toimialalla ja samalla valmistelemaan heitä vihreämpään ja digitaalisempaan eurooppalaiseen talouteen;</w:t>
      </w:r>
    </w:p>
    <w:p w14:paraId="43981A2D" w14:textId="77777777" w:rsidR="008E134C" w:rsidRPr="00DE5408" w:rsidRDefault="008E134C" w:rsidP="001835EE">
      <w:pPr>
        <w:widowControl/>
        <w:spacing w:after="240"/>
        <w:ind w:left="567" w:hanging="567"/>
        <w:rPr>
          <w:szCs w:val="24"/>
        </w:rPr>
      </w:pPr>
      <w:r w:rsidRPr="00DE5408">
        <w:t>L.</w:t>
      </w:r>
      <w:r w:rsidRPr="00DE5408">
        <w:rPr>
          <w:color w:val="7030A0"/>
        </w:rPr>
        <w:tab/>
      </w:r>
      <w:r w:rsidRPr="00DE5408">
        <w:t>ottaa huomioon, että EGR ei saa ylittää 30 miljoonan euron vuotuista enimmäismäärää (vuoden 2018 hintoina), kuten asetuksen (EU, Euratom) 2020/2093 8 artiklassa, sellaisena kuin se on muutettuna neuvoston asetuksella (EU, Euratom) 2024/765, säädetään;</w:t>
      </w:r>
    </w:p>
    <w:p w14:paraId="3D3114C1" w14:textId="77777777" w:rsidR="008E134C" w:rsidRPr="00DE5408" w:rsidRDefault="008E134C" w:rsidP="001835EE">
      <w:pPr>
        <w:pStyle w:val="NormalHanging12a"/>
        <w:widowControl/>
      </w:pPr>
      <w:r w:rsidRPr="00DE5408">
        <w:t>1.</w:t>
      </w:r>
      <w:r w:rsidRPr="00DE5408">
        <w:tab/>
        <w:t>yhtyy komission näkemykseen siitä, että EGR-asetuksen 4 artiklan 2 kohdan a alakohdassa säädetyt edellytykset täyttyvät ja että Saksa on oikeutettu saamaan kyseisen asetuksen mukaista rahoitustukea 3 085 166 euroa eli 60 prosenttia 5 141 944 euron kokonaiskustannuksista, joista yksilöllisten palvelujen osuus on 4 936 274 euroa ja valmistelu-, hallinnointi-, tiedotus-, mainonta-, valvonta- ja raportointitoimien osuus 205 670 euroa;</w:t>
      </w:r>
    </w:p>
    <w:p w14:paraId="1EF5F2E0" w14:textId="77777777" w:rsidR="008E134C" w:rsidRPr="00DE5408" w:rsidRDefault="008E134C" w:rsidP="001835EE">
      <w:pPr>
        <w:pStyle w:val="NormalHanging12a"/>
        <w:widowControl/>
      </w:pPr>
      <w:r w:rsidRPr="00DE5408">
        <w:t>2.</w:t>
      </w:r>
      <w:r w:rsidRPr="00DE5408">
        <w:tab/>
        <w:t>toteaa, että Saksan viranomaiset toimittivat hakemuksen 10. maaliskuuta 2025 ja että Saksan toimitettua hakemusta koskevia lisätietoja komissio sai sitä koskevan arvionsa valmiiksi 29. heinäkuuta 2025, eli yli neljä kuukautta myöhemmin, ja ilmoitti asiasta parlamentille 26. elokuuta 2025;</w:t>
      </w:r>
    </w:p>
    <w:p w14:paraId="5C734F25" w14:textId="77777777" w:rsidR="008E134C" w:rsidRPr="00DE5408" w:rsidRDefault="008E134C" w:rsidP="001835EE">
      <w:pPr>
        <w:pStyle w:val="NormalHanging12a"/>
        <w:widowControl/>
      </w:pPr>
      <w:r w:rsidRPr="00DE5408">
        <w:t>3.</w:t>
      </w:r>
      <w:r w:rsidRPr="00DE5408">
        <w:tab/>
        <w:t xml:space="preserve">toteaa, että hakemus koskee 1 171:tä </w:t>
      </w:r>
      <w:proofErr w:type="spellStart"/>
      <w:r w:rsidRPr="00DE5408">
        <w:t>Fuldan</w:t>
      </w:r>
      <w:proofErr w:type="spellEnd"/>
      <w:r w:rsidRPr="00DE5408">
        <w:t xml:space="preserve"> tuotantolaitoksen sulkemisen ja </w:t>
      </w:r>
      <w:proofErr w:type="spellStart"/>
      <w:r w:rsidRPr="00DE5408">
        <w:t>Hanaun</w:t>
      </w:r>
      <w:proofErr w:type="spellEnd"/>
      <w:r w:rsidRPr="00DE5408">
        <w:t xml:space="preserve"> tuotantolaitoksen osittaisen sulkemisen seurauksena työttömäksi jäänyttä työntekijää; toteaa lisäksi, että yhteensä 915 työttömäksi jäänyttä työntekijää, joiden odotetaan osallistuvan toimenpiteisiin, ovat kohteena olevia edunsaajia;</w:t>
      </w:r>
    </w:p>
    <w:p w14:paraId="4EB01B21" w14:textId="77777777" w:rsidR="008E134C" w:rsidRPr="00DE5408" w:rsidRDefault="008E134C" w:rsidP="001835EE">
      <w:pPr>
        <w:pStyle w:val="NormalHanging12a"/>
        <w:widowControl/>
      </w:pPr>
      <w:r w:rsidRPr="00DE5408">
        <w:t>4.</w:t>
      </w:r>
      <w:r w:rsidRPr="00DE5408">
        <w:tab/>
        <w:t>toteaa, että työttömiksi jääneistä työntekijöistä useimmilla on matala koulutustaso (56 prosentilla enintään ylemmän perusasteen koulutus) ja suurin osa heistä on vähintään 54-vuotiaita (42 prosenttia); korostaa, että erityisesti ikääntyneet työntekijät ovat erittäin haavoittuvassa asemassa oleva ryhmä, jolla on merkittäviä esteitä uudelleentyöllistymisessä, koska mahdollisuudet täydennys- ja uudelleenkoulutukseen ovat rajalliset;</w:t>
      </w:r>
    </w:p>
    <w:p w14:paraId="550D8EEA" w14:textId="1B0C20D6" w:rsidR="008E134C" w:rsidRPr="00DE5408" w:rsidRDefault="008E134C" w:rsidP="001835EE">
      <w:pPr>
        <w:pStyle w:val="NormalHanging12a"/>
        <w:widowControl/>
      </w:pPr>
      <w:r w:rsidRPr="00DE5408">
        <w:t>5.</w:t>
      </w:r>
      <w:r w:rsidRPr="00DE5408">
        <w:tab/>
        <w:t xml:space="preserve">huomauttaa, että Goodyearin irtisanomiset nostivat </w:t>
      </w:r>
      <w:proofErr w:type="spellStart"/>
      <w:r w:rsidRPr="00DE5408">
        <w:t>Fuldan</w:t>
      </w:r>
      <w:proofErr w:type="spellEnd"/>
      <w:r w:rsidRPr="00DE5408">
        <w:t xml:space="preserve"> alueen työttömyysastetta vuositasolla yli 10 prosent</w:t>
      </w:r>
      <w:r w:rsidR="001835EE">
        <w:t>illa</w:t>
      </w:r>
      <w:r w:rsidRPr="00DE5408">
        <w:t>, ja tämä vaikutti suhteettoman paljon miespuolisiin ja yli 50-vuotiaisiin työntekijöihin, joista monilla on vanhentunut tutkinto eikä osaaminen vastaa työmarkkinoiden nykyvaatimuksia; korostaa, että tarvitaan nopeita toimia rakenteellisen alueellisen taantuman estämiseksi, ja painottaa, että on tärkeää edistää laadukkaita ja tulevaisuuteen suuntautuvia työpaikkoja pitkän aikavälin taloudellisen ja sosiaalisen palautumiskyvyn varmistamiseksi;</w:t>
      </w:r>
    </w:p>
    <w:p w14:paraId="04307D41" w14:textId="77777777" w:rsidR="008E134C" w:rsidRPr="00DE5408" w:rsidRDefault="008E134C" w:rsidP="001835EE">
      <w:pPr>
        <w:pStyle w:val="NormalHanging12a"/>
        <w:widowControl/>
      </w:pPr>
      <w:r w:rsidRPr="00DE5408">
        <w:lastRenderedPageBreak/>
        <w:t>6.</w:t>
      </w:r>
      <w:r w:rsidRPr="00DE5408">
        <w:tab/>
        <w:t>muistuttaa, että työntekijöille tarjottavat yksilölliset palvelut koostuvat seuraavista toimista: huomattavat täydennys- tai uudelleenkoulutustoimenpiteet, ohjaus ja neuvonta sekä ammatillinen ohjaus ja aktivointitoimet, yrityksen perustamista koskeva neuvonta ja avustukset, työnhakuneuvonta, kannustimet ammattitaidon kehittämiseen ja palkanlisät, koulutusavustukset, digitaalisia taitoja koskeva koulutus; korostaa tässä yhteydessä hyvin koulutetun työvoiman olevan ratkaisevan tärkeä tekijä, jotta Euroopan talous täyttää tulevaisuuden vaatimukset;</w:t>
      </w:r>
    </w:p>
    <w:p w14:paraId="5341DCB6" w14:textId="3B546A8A" w:rsidR="008E134C" w:rsidRPr="00DE5408" w:rsidRDefault="008E134C" w:rsidP="001835EE">
      <w:pPr>
        <w:pStyle w:val="NormalHanging12a"/>
        <w:widowControl/>
      </w:pPr>
      <w:r w:rsidRPr="00DE5408">
        <w:t>7.</w:t>
      </w:r>
      <w:r w:rsidRPr="00DE5408">
        <w:tab/>
        <w:t xml:space="preserve">katsoo, että unionilla ja jäsenvaltioilla on yhteiskuntavastuu tarjota työttömiksi jääneille työntekijöille pätevyydet, joita tulevaisuuden vaatimukset huomioon ottava Euroopan talous tarvitsee digitaalisen ja vihreän siirtymän saavuttamiseksi; katsoo siksi, että </w:t>
      </w:r>
      <w:proofErr w:type="spellStart"/>
      <w:r w:rsidRPr="00DE5408">
        <w:t>EGR:n</w:t>
      </w:r>
      <w:proofErr w:type="spellEnd"/>
      <w:r w:rsidRPr="00DE5408">
        <w:t xml:space="preserve"> varojen käyttöönotto on sisällytettävä laajempiin poliittisiin toimiin;</w:t>
      </w:r>
    </w:p>
    <w:p w14:paraId="20BD1181" w14:textId="77777777" w:rsidR="008E134C" w:rsidRPr="00DE5408" w:rsidRDefault="008E134C" w:rsidP="001835EE">
      <w:pPr>
        <w:pStyle w:val="NormalHanging12a"/>
        <w:widowControl/>
      </w:pPr>
      <w:r w:rsidRPr="00DE5408">
        <w:t>8.</w:t>
      </w:r>
      <w:r w:rsidRPr="00DE5408">
        <w:tab/>
        <w:t>kehottaa tekemään toteutetuista toimenpiteistä perusteellisen loppuarvioinnin, johon sisällytetään tiedot niiden työntekijöiden lukumäärästä, jotka on onnistuneesti integroitu uudelleen työelämään, sekä niiden työntekijöiden lukumäärästä, jotka ovat osallistuneet hyväksytysti koulutus- ja täydennyskoulutustoimenpiteisiin;</w:t>
      </w:r>
    </w:p>
    <w:p w14:paraId="10553E1C" w14:textId="77777777" w:rsidR="008E134C" w:rsidRPr="00DE5408" w:rsidRDefault="008E134C" w:rsidP="001835EE">
      <w:pPr>
        <w:pStyle w:val="NormalHanging12a"/>
        <w:widowControl/>
      </w:pPr>
      <w:r w:rsidRPr="00DE5408">
        <w:t>9.</w:t>
      </w:r>
      <w:r w:rsidRPr="00DE5408">
        <w:tab/>
        <w:t xml:space="preserve">panee merkille, että 20. helmikuuta 2025 alkaen Goodyearin, työntekijöiden ja siirtymäkauden yritystä johtamaan valitun palveluntarjoajan PMB International </w:t>
      </w:r>
      <w:proofErr w:type="spellStart"/>
      <w:r w:rsidRPr="00DE5408">
        <w:t>GmbH:n</w:t>
      </w:r>
      <w:proofErr w:type="spellEnd"/>
      <w:r w:rsidRPr="00DE5408">
        <w:t xml:space="preserve"> välillä on tehty yhteensä 915 kolmikantasopimusta, joista 781 koskee </w:t>
      </w:r>
      <w:proofErr w:type="spellStart"/>
      <w:r w:rsidRPr="00DE5408">
        <w:t>Fuldaa</w:t>
      </w:r>
      <w:proofErr w:type="spellEnd"/>
      <w:r w:rsidRPr="00DE5408">
        <w:t xml:space="preserve"> ja 134 </w:t>
      </w:r>
      <w:proofErr w:type="spellStart"/>
      <w:r w:rsidRPr="00DE5408">
        <w:t>Hanauta</w:t>
      </w:r>
      <w:proofErr w:type="spellEnd"/>
      <w:r w:rsidRPr="00DE5408">
        <w:t>; pitää myönteisenä tietoa siitä, että näiden lukujen odotetaan kasvavan, kun sopimuksia allekirjoitetaan lisää;</w:t>
      </w:r>
    </w:p>
    <w:p w14:paraId="313C6D26" w14:textId="6C21BC14" w:rsidR="008E134C" w:rsidRPr="00DE5408" w:rsidRDefault="008E134C" w:rsidP="001835EE">
      <w:pPr>
        <w:pStyle w:val="NormalHanging12a"/>
        <w:widowControl/>
      </w:pPr>
      <w:r w:rsidRPr="00DE5408">
        <w:t>10.</w:t>
      </w:r>
      <w:r w:rsidRPr="00DE5408">
        <w:tab/>
        <w:t xml:space="preserve">panee merkille, että Saksa aloitti yksilöllisten palvelujen tarjoamisen kohteena oleville edunsaajille 1. marraskuuta 2024 ja että toimenpiteisiin liittyviin menoihin voidaan näin ollen myöntää </w:t>
      </w:r>
      <w:proofErr w:type="spellStart"/>
      <w:r w:rsidRPr="00DE5408">
        <w:t>EGR:n</w:t>
      </w:r>
      <w:proofErr w:type="spellEnd"/>
      <w:r w:rsidRPr="00DE5408">
        <w:t xml:space="preserve"> rahoitustukea kaudella, joka alkaa kyseisestä päivästä ja päättyy 24 kuukauden kuluttua </w:t>
      </w:r>
      <w:r w:rsidR="001835EE">
        <w:t xml:space="preserve">tämän päätöslauselman liitteenä olevan </w:t>
      </w:r>
      <w:r w:rsidRPr="00DE5408">
        <w:t>päätöksen voimaantulopäivästä;</w:t>
      </w:r>
    </w:p>
    <w:p w14:paraId="76340E63" w14:textId="65393417" w:rsidR="008E134C" w:rsidRPr="00DE5408" w:rsidRDefault="008E134C" w:rsidP="001835EE">
      <w:pPr>
        <w:pStyle w:val="NormalHanging12a"/>
        <w:widowControl/>
        <w:rPr>
          <w:sz w:val="23"/>
          <w:szCs w:val="23"/>
        </w:rPr>
      </w:pPr>
      <w:r w:rsidRPr="00DE5408">
        <w:t>11.</w:t>
      </w:r>
      <w:r w:rsidRPr="00DE5408">
        <w:tab/>
        <w:t xml:space="preserve">toteaa, että Saksalle on aiheutunut hallinnollisia menoja </w:t>
      </w:r>
      <w:proofErr w:type="spellStart"/>
      <w:r w:rsidRPr="00DE5408">
        <w:t>EGR:n</w:t>
      </w:r>
      <w:proofErr w:type="spellEnd"/>
      <w:r w:rsidRPr="00DE5408">
        <w:t xml:space="preserve"> täytäntöönpanosta 1. marraskuuta 2024 lähtien ja että näihin toimiin liittyviin menoihin voidaan näin ollen myöntää </w:t>
      </w:r>
      <w:proofErr w:type="spellStart"/>
      <w:r w:rsidRPr="00DE5408">
        <w:t>EGR:n</w:t>
      </w:r>
      <w:proofErr w:type="spellEnd"/>
      <w:r w:rsidRPr="00DE5408">
        <w:t xml:space="preserve"> rahoitustukea kaudella, joka alkaa kyseisestä päivästä ja päättyy 31 kuukauden kuluttua </w:t>
      </w:r>
      <w:r w:rsidR="001835EE">
        <w:t xml:space="preserve">tämän päätöslauselman liitteenä olevan </w:t>
      </w:r>
      <w:r w:rsidRPr="00DE5408">
        <w:t>päätöksen voimaantulopäivästä;</w:t>
      </w:r>
    </w:p>
    <w:p w14:paraId="4618E606" w14:textId="77777777" w:rsidR="008E134C" w:rsidRPr="00DE5408" w:rsidRDefault="008E134C" w:rsidP="001835EE">
      <w:pPr>
        <w:pStyle w:val="NormalHanging12a"/>
        <w:widowControl/>
      </w:pPr>
      <w:r w:rsidRPr="00DE5408">
        <w:t>12.</w:t>
      </w:r>
      <w:r w:rsidRPr="00DE5408">
        <w:tab/>
        <w:t>painottaa Saksan viranomaisten toimittaneen vakuutukset siitä, että suunniteltuihin toimiin osallistumisen ja täytäntöönpanon osalta noudatetaan yhdenvertaisen kohtelun ja syrjimättömyyden periaatteita ja että kaksinkertainen rahoitus estetään;</w:t>
      </w:r>
    </w:p>
    <w:p w14:paraId="443D49F9" w14:textId="77777777" w:rsidR="008E134C" w:rsidRPr="00DE5408" w:rsidRDefault="008E134C" w:rsidP="001835EE">
      <w:pPr>
        <w:pStyle w:val="NormalHanging12a"/>
        <w:widowControl/>
      </w:pPr>
      <w:r w:rsidRPr="00DE5408">
        <w:t>13.</w:t>
      </w:r>
      <w:r w:rsidRPr="00DE5408">
        <w:tab/>
        <w:t>muistuttaa, että Saksan viranomaiset tekevät tiettäväksi rahoituksen alkuperän ja varmistavat unionin rahoituksen näkyvyyden sekä korostavat samalla unionin lisäarvoa; korostaa, että tämä on tarkoitus saavuttaa edunsaajille, työmarkkinaosapuolille ja tiedotusvälineille suunnatuilla kohdennetuilla tiedotustoimilla;</w:t>
      </w:r>
    </w:p>
    <w:p w14:paraId="7E4BAE78" w14:textId="77777777" w:rsidR="008E134C" w:rsidRPr="00DE5408" w:rsidRDefault="008E134C" w:rsidP="001835EE">
      <w:pPr>
        <w:pStyle w:val="NormalHanging12a"/>
        <w:widowControl/>
      </w:pPr>
      <w:r w:rsidRPr="00DE5408">
        <w:t>14.</w:t>
      </w:r>
      <w:r w:rsidRPr="00DE5408">
        <w:tab/>
        <w:t xml:space="preserve">muistuttaa, että </w:t>
      </w:r>
      <w:proofErr w:type="spellStart"/>
      <w:r w:rsidRPr="00DE5408">
        <w:t>EGR:n</w:t>
      </w:r>
      <w:proofErr w:type="spellEnd"/>
      <w:r w:rsidRPr="00DE5408">
        <w:t xml:space="preserve"> tuki ei saa korvata toimenpiteitä, jotka kansallisen lainsäädännön tai työehtosopimusten mukaan kuuluvat yritysten vastuulle;</w:t>
      </w:r>
    </w:p>
    <w:p w14:paraId="387129B4" w14:textId="77777777" w:rsidR="008E134C" w:rsidRPr="00DE5408" w:rsidRDefault="008E134C" w:rsidP="001835EE">
      <w:pPr>
        <w:pStyle w:val="NormalHanging12a"/>
        <w:widowControl/>
      </w:pPr>
      <w:r w:rsidRPr="00DE5408">
        <w:t>15.</w:t>
      </w:r>
      <w:r w:rsidRPr="00DE5408">
        <w:tab/>
        <w:t xml:space="preserve">korostaa, että Euroopan teollisuuden työllisyyspohjan ja sosiaaliturvan turvaaminen edellyttää kiireellisesti johdonmukaisia ja koordinoituja unionin kilpailukyvyn parantamistoimia, jotka on suunniteltu tiiviissä yhteistyössä jäsenvaltioiden kanssa; korostaa, että laajamittaiset työntekijävähennykset voidaan estää ainoastaan, jos </w:t>
      </w:r>
      <w:r w:rsidRPr="00DE5408">
        <w:lastRenderedPageBreak/>
        <w:t xml:space="preserve">Euroopan talous on vahva ja häiriönsietokykyinen, mikä myös itsessään vähentää </w:t>
      </w:r>
      <w:proofErr w:type="spellStart"/>
      <w:r w:rsidRPr="00DE5408">
        <w:t>EGR:n</w:t>
      </w:r>
      <w:proofErr w:type="spellEnd"/>
      <w:r w:rsidRPr="00DE5408">
        <w:t xml:space="preserve"> tukitoimien tarvetta;</w:t>
      </w:r>
    </w:p>
    <w:p w14:paraId="6859BED2" w14:textId="77777777" w:rsidR="008E134C" w:rsidRPr="00DE5408" w:rsidRDefault="008E134C" w:rsidP="001835EE">
      <w:pPr>
        <w:pStyle w:val="NormalHanging12a"/>
        <w:widowControl/>
      </w:pPr>
      <w:r w:rsidRPr="00DE5408">
        <w:t>16.</w:t>
      </w:r>
      <w:r w:rsidRPr="00DE5408">
        <w:tab/>
        <w:t>hyväksyy tämän päätöslauselman liitteenä olevan päätöksen;</w:t>
      </w:r>
    </w:p>
    <w:p w14:paraId="55FA75B9" w14:textId="77777777" w:rsidR="008E134C" w:rsidRPr="00DE5408" w:rsidRDefault="008E134C" w:rsidP="001835EE">
      <w:pPr>
        <w:pStyle w:val="NormalHanging12a"/>
        <w:widowControl/>
      </w:pPr>
      <w:r w:rsidRPr="00DE5408">
        <w:t>17.</w:t>
      </w:r>
      <w:r w:rsidRPr="00DE5408">
        <w:tab/>
        <w:t xml:space="preserve">kehottaa puhemiestä allekirjoittamaan päätöksen neuvoston puheenjohtajan kanssa ja huolehtimaan sen julkaisemisesta </w:t>
      </w:r>
      <w:r w:rsidRPr="00DE5408">
        <w:rPr>
          <w:i/>
          <w:iCs/>
        </w:rPr>
        <w:t>Euroopan unionin virallisessa lehdessä</w:t>
      </w:r>
      <w:r w:rsidRPr="00DE5408">
        <w:t>;</w:t>
      </w:r>
    </w:p>
    <w:p w14:paraId="36B87E99" w14:textId="49D385B4" w:rsidR="008E134C" w:rsidRPr="00DE5408" w:rsidRDefault="008E134C" w:rsidP="0097369B">
      <w:pPr>
        <w:widowControl/>
        <w:ind w:left="567" w:hanging="567"/>
      </w:pPr>
      <w:r w:rsidRPr="00DE5408">
        <w:t>18.</w:t>
      </w:r>
      <w:r w:rsidRPr="00DE5408">
        <w:tab/>
        <w:t>kehottaa puhemiestä välittämään tämän päätöslauselman liitteineen neuvostolle ja komissiolle.</w:t>
      </w:r>
      <w:bookmarkStart w:id="7" w:name="_Toc206749151"/>
    </w:p>
    <w:p w14:paraId="5EDD7C56" w14:textId="77777777" w:rsidR="008E134C" w:rsidRPr="00DE5408" w:rsidRDefault="008E134C" w:rsidP="001835EE">
      <w:pPr>
        <w:widowControl/>
        <w:sectPr w:rsidR="008E134C" w:rsidRPr="00DE5408" w:rsidSect="00DE5408">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p>
    <w:p w14:paraId="34389B01" w14:textId="77777777" w:rsidR="00584E25" w:rsidRPr="00584E25" w:rsidRDefault="008E134C" w:rsidP="001835EE">
      <w:pPr>
        <w:pStyle w:val="PageHeading"/>
        <w:widowControl/>
        <w:rPr>
          <w:rFonts w:ascii="Times New Roman" w:hAnsi="Times New Roman" w:cs="Times New Roman"/>
        </w:rPr>
      </w:pPr>
      <w:bookmarkStart w:id="8" w:name="_Toc210378229"/>
      <w:r w:rsidRPr="00584E25">
        <w:rPr>
          <w:rFonts w:ascii="Times New Roman" w:hAnsi="Times New Roman" w:cs="Times New Roman"/>
        </w:rPr>
        <w:lastRenderedPageBreak/>
        <w:t>LIITE</w:t>
      </w:r>
    </w:p>
    <w:p w14:paraId="71F7D764" w14:textId="7A9F57D1" w:rsidR="008E134C" w:rsidRPr="00584E25" w:rsidRDefault="008E134C" w:rsidP="001835EE">
      <w:pPr>
        <w:pStyle w:val="PageHeading"/>
        <w:widowControl/>
        <w:rPr>
          <w:rFonts w:ascii="Times New Roman" w:hAnsi="Times New Roman" w:cs="Times New Roman"/>
          <w:noProof/>
        </w:rPr>
      </w:pPr>
      <w:r w:rsidRPr="00584E25">
        <w:rPr>
          <w:rFonts w:ascii="Times New Roman" w:hAnsi="Times New Roman" w:cs="Times New Roman"/>
        </w:rPr>
        <w:t>EUROOPAN PARLAMENTIN JA NEUVOSTON PÄÄTÖS</w:t>
      </w:r>
      <w:bookmarkEnd w:id="7"/>
      <w:bookmarkEnd w:id="8"/>
    </w:p>
    <w:p w14:paraId="4C0F0399" w14:textId="6C0BE915" w:rsidR="008E134C" w:rsidRDefault="008E134C" w:rsidP="001835EE">
      <w:pPr>
        <w:widowControl/>
        <w:jc w:val="center"/>
        <w:rPr>
          <w:b/>
        </w:rPr>
      </w:pPr>
      <w:r w:rsidRPr="00DE5408">
        <w:rPr>
          <w:b/>
        </w:rPr>
        <w:t xml:space="preserve">työttömiksi jääneitä työntekijöitä tukevan Euroopan globalisaatiorahaston varojen käyttöönotosta Saksan hakemuksen </w:t>
      </w:r>
      <w:proofErr w:type="gramStart"/>
      <w:r w:rsidRPr="00DE5408">
        <w:rPr>
          <w:b/>
        </w:rPr>
        <w:t>johdosta</w:t>
      </w:r>
      <w:proofErr w:type="gramEnd"/>
      <w:r w:rsidRPr="00DE5408">
        <w:rPr>
          <w:b/>
        </w:rPr>
        <w:t xml:space="preserve"> (EGF/2025/002 DE/Goodyear 2)</w:t>
      </w:r>
    </w:p>
    <w:p w14:paraId="27F7336D" w14:textId="1169DF61" w:rsidR="00584E25" w:rsidRPr="006E0791" w:rsidRDefault="00584E25" w:rsidP="00584E25">
      <w:pPr>
        <w:spacing w:before="240"/>
        <w:rPr>
          <w:i/>
          <w:szCs w:val="24"/>
        </w:rPr>
      </w:pPr>
      <w:r w:rsidRPr="006E0791">
        <w:rPr>
          <w:i/>
          <w:szCs w:val="24"/>
        </w:rPr>
        <w:t xml:space="preserve">(Tätä liitettä ei esitetä tässä, koska se vastaa lopullista säädöstä, päätöstä </w:t>
      </w:r>
      <w:r>
        <w:rPr>
          <w:i/>
          <w:szCs w:val="24"/>
        </w:rPr>
        <w:t>(</w:t>
      </w:r>
      <w:r w:rsidRPr="006E0791">
        <w:rPr>
          <w:i/>
          <w:szCs w:val="24"/>
        </w:rPr>
        <w:t>EU</w:t>
      </w:r>
      <w:r>
        <w:rPr>
          <w:i/>
          <w:szCs w:val="24"/>
        </w:rPr>
        <w:t>) 20</w:t>
      </w:r>
      <w:r>
        <w:rPr>
          <w:i/>
          <w:szCs w:val="24"/>
        </w:rPr>
        <w:t>25</w:t>
      </w:r>
      <w:r>
        <w:rPr>
          <w:i/>
          <w:szCs w:val="24"/>
        </w:rPr>
        <w:t>/</w:t>
      </w:r>
      <w:r>
        <w:rPr>
          <w:i/>
          <w:szCs w:val="24"/>
        </w:rPr>
        <w:t>2135</w:t>
      </w:r>
      <w:r w:rsidRPr="006E0791">
        <w:rPr>
          <w:i/>
          <w:szCs w:val="24"/>
        </w:rPr>
        <w:t>.)</w:t>
      </w:r>
    </w:p>
    <w:sectPr w:rsidR="00584E25" w:rsidRPr="006E0791" w:rsidSect="00DE540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2767E" w14:textId="77777777" w:rsidR="00CC4838" w:rsidRPr="00DE5408" w:rsidRDefault="00CC4838">
      <w:r w:rsidRPr="00DE5408">
        <w:separator/>
      </w:r>
    </w:p>
  </w:endnote>
  <w:endnote w:type="continuationSeparator" w:id="0">
    <w:p w14:paraId="451126E9" w14:textId="77777777" w:rsidR="00CC4838" w:rsidRPr="00DE5408" w:rsidRDefault="00CC4838">
      <w:r w:rsidRPr="00DE54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F9AF8" w14:textId="77777777" w:rsidR="008E134C" w:rsidRPr="00DE5408" w:rsidRDefault="008E134C" w:rsidP="00027B96">
    <w:pPr>
      <w:pStyle w:val="EPFooter"/>
    </w:pPr>
    <w:r w:rsidRPr="00DE5408">
      <w:t>PE</w:t>
    </w:r>
    <w:r w:rsidRPr="00DE5408">
      <w:rPr>
        <w:rStyle w:val="HideTWBExt"/>
      </w:rPr>
      <w:t>&lt;NoPE&gt;</w:t>
    </w:r>
    <w:r w:rsidRPr="00DE5408">
      <w:t>776.828</w:t>
    </w:r>
    <w:r w:rsidRPr="00DE5408">
      <w:rPr>
        <w:rStyle w:val="HideTWBExt"/>
      </w:rPr>
      <w:t>&lt;/NoPE&gt;&lt;Version&gt;</w:t>
    </w:r>
    <w:r w:rsidRPr="00DE5408">
      <w:t>v02-00</w:t>
    </w:r>
    <w:r w:rsidRPr="00DE5408">
      <w:rPr>
        <w:rStyle w:val="HideTWBExt"/>
      </w:rPr>
      <w:t>&lt;/Version&gt;</w:t>
    </w:r>
    <w:r w:rsidRPr="00DE5408">
      <w:tab/>
    </w:r>
    <w:r w:rsidRPr="00DE5408">
      <w:fldChar w:fldCharType="begin"/>
    </w:r>
    <w:r w:rsidRPr="00DE5408">
      <w:instrText xml:space="preserve"> PAGE  \* MERGEFORMAT </w:instrText>
    </w:r>
    <w:r w:rsidRPr="00DE5408">
      <w:fldChar w:fldCharType="separate"/>
    </w:r>
    <w:r w:rsidRPr="00DE5408">
      <w:rPr>
        <w:noProof/>
      </w:rPr>
      <w:t>2</w:t>
    </w:r>
    <w:r w:rsidRPr="00DE5408">
      <w:fldChar w:fldCharType="end"/>
    </w:r>
    <w:r w:rsidRPr="00DE5408">
      <w:t>/</w:t>
    </w:r>
    <w:fldSimple w:instr=" NUMPAGES  \* MERGEFORMAT ">
      <w:r w:rsidRPr="00DE5408">
        <w:rPr>
          <w:noProof/>
        </w:rPr>
        <w:t>18</w:t>
      </w:r>
    </w:fldSimple>
    <w:r w:rsidRPr="00DE5408">
      <w:tab/>
    </w:r>
    <w:r w:rsidRPr="00DE5408">
      <w:rPr>
        <w:rStyle w:val="HideTWBExt"/>
      </w:rPr>
      <w:t>&lt;PathFdR&gt;</w:t>
    </w:r>
    <w:r w:rsidRPr="00DE5408">
      <w:t>RR\1328613FI.docx</w:t>
    </w:r>
    <w:r w:rsidRPr="00DE5408">
      <w:rPr>
        <w:rStyle w:val="HideTWBExt"/>
      </w:rPr>
      <w:t>&lt;/PathFdR&gt;</w:t>
    </w:r>
  </w:p>
  <w:p w14:paraId="0BE91063" w14:textId="77777777" w:rsidR="008E134C" w:rsidRPr="00DE5408" w:rsidRDefault="008E134C" w:rsidP="00027B96">
    <w:pPr>
      <w:pStyle w:val="EPFooter2"/>
    </w:pPr>
    <w:r w:rsidRPr="00DE5408">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E8CDD" w14:textId="77777777" w:rsidR="008E134C" w:rsidRPr="00DE5408" w:rsidRDefault="008E134C" w:rsidP="00027B96">
    <w:pPr>
      <w:pStyle w:val="EPFooter"/>
    </w:pPr>
    <w:r w:rsidRPr="00DE5408">
      <w:rPr>
        <w:rStyle w:val="HideTWBExt"/>
      </w:rPr>
      <w:t>&lt;PathFdR&gt;</w:t>
    </w:r>
    <w:r w:rsidRPr="00DE5408">
      <w:t>RR\1328613FI.docx</w:t>
    </w:r>
    <w:r w:rsidRPr="00DE5408">
      <w:rPr>
        <w:rStyle w:val="HideTWBExt"/>
      </w:rPr>
      <w:t>&lt;/PathFdR&gt;</w:t>
    </w:r>
    <w:r w:rsidRPr="00DE5408">
      <w:tab/>
    </w:r>
    <w:r w:rsidRPr="00DE5408">
      <w:tab/>
      <w:t>PE</w:t>
    </w:r>
    <w:r w:rsidRPr="00DE5408">
      <w:rPr>
        <w:rStyle w:val="HideTWBExt"/>
      </w:rPr>
      <w:t>&lt;NoPE&gt;</w:t>
    </w:r>
    <w:r w:rsidRPr="00DE5408">
      <w:t>776.828</w:t>
    </w:r>
    <w:r w:rsidRPr="00DE5408">
      <w:rPr>
        <w:rStyle w:val="HideTWBExt"/>
      </w:rPr>
      <w:t>&lt;/NoPE&gt;&lt;Version&gt;</w:t>
    </w:r>
    <w:r w:rsidRPr="00DE5408">
      <w:t>v02-00</w:t>
    </w:r>
    <w:r w:rsidRPr="00DE5408">
      <w:rPr>
        <w:rStyle w:val="HideTWBExt"/>
      </w:rPr>
      <w:t>&lt;/Version&gt;</w:t>
    </w:r>
  </w:p>
  <w:p w14:paraId="043EF65F" w14:textId="77777777" w:rsidR="008E134C" w:rsidRPr="00DE5408" w:rsidRDefault="008E134C" w:rsidP="00027B96">
    <w:pPr>
      <w:pStyle w:val="EPFooter2"/>
    </w:pPr>
    <w:r w:rsidRPr="00DE5408">
      <w:t>FI</w:t>
    </w:r>
    <w:r w:rsidRPr="00DE5408">
      <w:tab/>
    </w:r>
    <w:r w:rsidRPr="00DE5408">
      <w:rPr>
        <w:b w:val="0"/>
        <w:i/>
        <w:color w:val="C0C0C0"/>
        <w:sz w:val="22"/>
      </w:rPr>
      <w:t>Moninaisuudessaan yhtenäinen</w:t>
    </w:r>
    <w:r w:rsidRPr="00DE5408">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F2473" w14:textId="77777777" w:rsidR="00064002" w:rsidRPr="00DE540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0FC70" w14:textId="77777777" w:rsidR="00064002" w:rsidRPr="00DE540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CABEF" w14:textId="77777777" w:rsidR="00064002" w:rsidRPr="00DE54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11897" w14:textId="77777777" w:rsidR="00CC4838" w:rsidRPr="00DE5408" w:rsidRDefault="00CC4838">
      <w:r w:rsidRPr="00DE5408">
        <w:separator/>
      </w:r>
    </w:p>
  </w:footnote>
  <w:footnote w:type="continuationSeparator" w:id="0">
    <w:p w14:paraId="23EE8B5E" w14:textId="77777777" w:rsidR="00CC4838" w:rsidRPr="00DE5408" w:rsidRDefault="00CC4838">
      <w:r w:rsidRPr="00DE5408">
        <w:continuationSeparator/>
      </w:r>
    </w:p>
  </w:footnote>
  <w:footnote w:id="1">
    <w:p w14:paraId="1539BDEE" w14:textId="799AA743" w:rsidR="008E134C" w:rsidRPr="00DE5408" w:rsidRDefault="008E134C" w:rsidP="00DE5408">
      <w:pPr>
        <w:pStyle w:val="FootnoteText"/>
        <w:ind w:left="567" w:hanging="567"/>
        <w:rPr>
          <w:sz w:val="24"/>
          <w:lang w:val="fi-FI"/>
        </w:rPr>
      </w:pPr>
      <w:r w:rsidRPr="00DE5408">
        <w:rPr>
          <w:rStyle w:val="FootnoteReference"/>
          <w:sz w:val="24"/>
          <w:lang w:val="fi-FI"/>
        </w:rPr>
        <w:footnoteRef/>
      </w:r>
      <w:r w:rsidR="00DE5408" w:rsidRPr="00DE5408">
        <w:rPr>
          <w:sz w:val="24"/>
          <w:lang w:val="fi-FI"/>
        </w:rPr>
        <w:t xml:space="preserve"> </w:t>
      </w:r>
      <w:r w:rsidR="00DE5408" w:rsidRPr="00DE5408">
        <w:rPr>
          <w:sz w:val="24"/>
          <w:lang w:val="fi-FI"/>
        </w:rPr>
        <w:tab/>
      </w:r>
      <w:r w:rsidRPr="00DE5408">
        <w:rPr>
          <w:sz w:val="24"/>
          <w:lang w:val="fi-FI"/>
        </w:rPr>
        <w:t xml:space="preserve">EUVL L 153, 3.5.2021, s. 48, ELI: </w:t>
      </w:r>
      <w:hyperlink r:id="rId1" w:history="1">
        <w:r w:rsidRPr="00DE5408">
          <w:rPr>
            <w:rStyle w:val="Hyperlink"/>
            <w:sz w:val="24"/>
            <w:lang w:val="fi-FI"/>
          </w:rPr>
          <w:t>http://data.europa.eu/eli/reg/2021/691/oj</w:t>
        </w:r>
      </w:hyperlink>
      <w:r w:rsidRPr="00DE5408">
        <w:rPr>
          <w:sz w:val="24"/>
          <w:lang w:val="fi-FI"/>
        </w:rPr>
        <w:t>.</w:t>
      </w:r>
    </w:p>
  </w:footnote>
  <w:footnote w:id="2">
    <w:p w14:paraId="6338080F" w14:textId="1ADA7388" w:rsidR="008E134C" w:rsidRPr="00DE5408" w:rsidRDefault="008E134C" w:rsidP="00DE5408">
      <w:pPr>
        <w:pStyle w:val="FootnoteText"/>
        <w:ind w:left="567" w:hanging="567"/>
        <w:rPr>
          <w:sz w:val="24"/>
          <w:lang w:val="fi-FI"/>
        </w:rPr>
      </w:pPr>
      <w:r w:rsidRPr="00DE5408">
        <w:rPr>
          <w:rStyle w:val="FootnoteReference"/>
          <w:sz w:val="24"/>
          <w:lang w:val="fi-FI"/>
        </w:rPr>
        <w:footnoteRef/>
      </w:r>
      <w:r w:rsidR="00DE5408" w:rsidRPr="00DE5408">
        <w:rPr>
          <w:sz w:val="24"/>
          <w:lang w:val="fi-FI"/>
        </w:rPr>
        <w:t xml:space="preserve"> </w:t>
      </w:r>
      <w:r w:rsidR="00DE5408" w:rsidRPr="00DE5408">
        <w:rPr>
          <w:sz w:val="24"/>
          <w:lang w:val="fi-FI"/>
        </w:rPr>
        <w:tab/>
      </w:r>
      <w:r w:rsidRPr="00DE5408">
        <w:rPr>
          <w:sz w:val="24"/>
          <w:lang w:val="fi-FI"/>
        </w:rPr>
        <w:t xml:space="preserve">EUVL L 433 I, 22.12.2020, s. 11, ELI: </w:t>
      </w:r>
      <w:r w:rsidR="00A14C28">
        <w:fldChar w:fldCharType="begin"/>
      </w:r>
      <w:r w:rsidR="00A14C28" w:rsidRPr="009155A9">
        <w:rPr>
          <w:lang w:val="fi-FI"/>
        </w:rPr>
        <w:instrText>HYPERLINK "http://data.europa.eu/eli/reg/2020/2093/oj"</w:instrText>
      </w:r>
      <w:r w:rsidR="00A14C28">
        <w:fldChar w:fldCharType="separate"/>
      </w:r>
      <w:r w:rsidRPr="00DE5408">
        <w:rPr>
          <w:rStyle w:val="Hyperlink"/>
          <w:sz w:val="24"/>
          <w:lang w:val="fi-FI"/>
        </w:rPr>
        <w:t>http://data.europa.eu/eli/reg/2020/2093/oj</w:t>
      </w:r>
      <w:r w:rsidR="00A14C28">
        <w:rPr>
          <w:rStyle w:val="Hyperlink"/>
          <w:sz w:val="24"/>
          <w:lang w:val="fi-FI"/>
        </w:rPr>
        <w:fldChar w:fldCharType="end"/>
      </w:r>
      <w:r w:rsidRPr="00DE5408">
        <w:rPr>
          <w:sz w:val="24"/>
          <w:lang w:val="fi-FI"/>
        </w:rPr>
        <w:t>.</w:t>
      </w:r>
    </w:p>
  </w:footnote>
  <w:footnote w:id="3">
    <w:p w14:paraId="779A14EB" w14:textId="07A1E9C5" w:rsidR="008E134C" w:rsidRPr="00DE5408" w:rsidRDefault="008E134C" w:rsidP="00DE5408">
      <w:pPr>
        <w:pStyle w:val="FootnoteText"/>
        <w:ind w:left="567" w:hanging="567"/>
        <w:rPr>
          <w:sz w:val="24"/>
          <w:lang w:val="fi-FI"/>
        </w:rPr>
      </w:pPr>
      <w:r w:rsidRPr="00DE5408">
        <w:rPr>
          <w:rStyle w:val="FootnoteReference"/>
          <w:sz w:val="24"/>
          <w:lang w:val="fi-FI"/>
        </w:rPr>
        <w:footnoteRef/>
      </w:r>
      <w:r w:rsidR="00DE5408" w:rsidRPr="00DE5408">
        <w:rPr>
          <w:color w:val="333333"/>
          <w:sz w:val="24"/>
          <w:shd w:val="clear" w:color="auto" w:fill="FFFFFF"/>
          <w:lang w:val="fi-FI"/>
        </w:rPr>
        <w:t xml:space="preserve"> </w:t>
      </w:r>
      <w:r w:rsidR="00DE5408" w:rsidRPr="00DE5408">
        <w:rPr>
          <w:color w:val="333333"/>
          <w:sz w:val="24"/>
          <w:shd w:val="clear" w:color="auto" w:fill="FFFFFF"/>
          <w:lang w:val="fi-FI"/>
        </w:rPr>
        <w:tab/>
      </w:r>
      <w:r w:rsidRPr="00DE5408">
        <w:rPr>
          <w:color w:val="333333"/>
          <w:sz w:val="24"/>
          <w:shd w:val="clear" w:color="auto" w:fill="FFFFFF"/>
          <w:lang w:val="fi-FI"/>
        </w:rPr>
        <w:t>Neuvoston asetus (EU, Euratom) 2024/765, annettu 29. helmikuuta 2024, vuosia 2021–2027 koskevan monivuotisen rahoituskehyksen vahvistamisesta annetun asetuksen (EU, Euratom) 2020/2093 muuttamisesta</w:t>
      </w:r>
      <w:r w:rsidRPr="00DE5408">
        <w:rPr>
          <w:sz w:val="24"/>
          <w:lang w:val="fi-FI"/>
        </w:rPr>
        <w:t xml:space="preserve"> (EUVL L, 2024/765, 29.2.2024, ELI: </w:t>
      </w:r>
      <w:r w:rsidR="00A14C28">
        <w:fldChar w:fldCharType="begin"/>
      </w:r>
      <w:r w:rsidR="00A14C28" w:rsidRPr="009155A9">
        <w:rPr>
          <w:lang w:val="fi-FI"/>
        </w:rPr>
        <w:instrText>HYPERLINK "http://data.europa.eu/eli/reg/2024/765/oj"</w:instrText>
      </w:r>
      <w:r w:rsidR="00A14C28">
        <w:fldChar w:fldCharType="separate"/>
      </w:r>
      <w:r w:rsidRPr="00DE5408">
        <w:rPr>
          <w:rStyle w:val="Hyperlink"/>
          <w:sz w:val="24"/>
          <w:lang w:val="fi-FI"/>
        </w:rPr>
        <w:t>http://data.europa.eu/eli/reg/2024/765/oj</w:t>
      </w:r>
      <w:r w:rsidR="00A14C28">
        <w:rPr>
          <w:rStyle w:val="Hyperlink"/>
          <w:sz w:val="24"/>
          <w:lang w:val="fi-FI"/>
        </w:rPr>
        <w:fldChar w:fldCharType="end"/>
      </w:r>
      <w:r w:rsidRPr="00DE5408">
        <w:rPr>
          <w:rStyle w:val="Emphasis"/>
          <w:color w:val="333333"/>
          <w:sz w:val="24"/>
          <w:shd w:val="clear" w:color="auto" w:fill="FFFFFF"/>
          <w:lang w:val="fi-FI"/>
        </w:rPr>
        <w:t>).</w:t>
      </w:r>
    </w:p>
  </w:footnote>
  <w:footnote w:id="4">
    <w:p w14:paraId="6D2163AB" w14:textId="1CAF75C8" w:rsidR="008E134C" w:rsidRPr="00DE5408" w:rsidRDefault="008E134C" w:rsidP="00DE5408">
      <w:pPr>
        <w:pStyle w:val="FootnoteText"/>
        <w:ind w:left="567" w:hanging="567"/>
        <w:rPr>
          <w:sz w:val="24"/>
          <w:lang w:val="fi-FI"/>
        </w:rPr>
      </w:pPr>
      <w:r w:rsidRPr="00DE5408">
        <w:rPr>
          <w:rStyle w:val="FootnoteReference"/>
          <w:sz w:val="24"/>
          <w:lang w:val="fi-FI"/>
        </w:rPr>
        <w:footnoteRef/>
      </w:r>
      <w:r w:rsidR="00DE5408" w:rsidRPr="00DE5408">
        <w:rPr>
          <w:sz w:val="24"/>
          <w:lang w:val="fi-FI"/>
        </w:rPr>
        <w:t xml:space="preserve"> </w:t>
      </w:r>
      <w:r w:rsidR="00DE5408" w:rsidRPr="00DE5408">
        <w:rPr>
          <w:sz w:val="24"/>
          <w:lang w:val="fi-FI"/>
        </w:rPr>
        <w:tab/>
      </w:r>
      <w:r w:rsidRPr="00DE5408">
        <w:rPr>
          <w:sz w:val="24"/>
          <w:lang w:val="fi-FI"/>
        </w:rPr>
        <w:t xml:space="preserve">EUVL L 433 I, 22.12.2020, s. 28, ELI: </w:t>
      </w:r>
      <w:r w:rsidR="00A14C28">
        <w:fldChar w:fldCharType="begin"/>
      </w:r>
      <w:r w:rsidR="00A14C28" w:rsidRPr="009155A9">
        <w:rPr>
          <w:lang w:val="fi-FI"/>
        </w:rPr>
        <w:instrText>HYPERLINK "http://data.europa.eu/eli/agree_interinstit/2020/1222/oj"</w:instrText>
      </w:r>
      <w:r w:rsidR="00A14C28">
        <w:fldChar w:fldCharType="separate"/>
      </w:r>
      <w:r w:rsidRPr="00DE5408">
        <w:rPr>
          <w:rStyle w:val="Hyperlink"/>
          <w:sz w:val="24"/>
          <w:lang w:val="fi-FI"/>
        </w:rPr>
        <w:t>http://data.europa.eu/eli/agree_interinstit/2020/1222/oj</w:t>
      </w:r>
      <w:r w:rsidR="00A14C28">
        <w:rPr>
          <w:rStyle w:val="Hyperlink"/>
          <w:sz w:val="24"/>
          <w:lang w:val="fi-FI"/>
        </w:rPr>
        <w:fldChar w:fldCharType="end"/>
      </w:r>
      <w:r w:rsidRPr="00DE5408">
        <w:rPr>
          <w:sz w:val="24"/>
          <w:lang w:val="fi-FI"/>
        </w:rPr>
        <w:t>.</w:t>
      </w:r>
    </w:p>
  </w:footnote>
  <w:footnote w:id="5">
    <w:p w14:paraId="34F99155" w14:textId="2BBF462F" w:rsidR="008E134C" w:rsidRPr="00DE5408" w:rsidRDefault="008E134C" w:rsidP="00DE5408">
      <w:pPr>
        <w:pStyle w:val="FootnoteText"/>
        <w:ind w:left="567" w:hanging="567"/>
        <w:rPr>
          <w:sz w:val="24"/>
          <w:lang w:val="fi-FI"/>
        </w:rPr>
      </w:pPr>
      <w:r w:rsidRPr="00DE5408">
        <w:rPr>
          <w:rStyle w:val="FootnoteReference"/>
          <w:sz w:val="24"/>
          <w:lang w:val="fi-FI"/>
        </w:rPr>
        <w:footnoteRef/>
      </w:r>
      <w:r w:rsidR="00DE5408" w:rsidRPr="00DE5408">
        <w:rPr>
          <w:sz w:val="24"/>
          <w:lang w:val="fi-FI"/>
        </w:rPr>
        <w:t xml:space="preserve"> </w:t>
      </w:r>
      <w:r w:rsidR="00DE5408" w:rsidRPr="00DE5408">
        <w:rPr>
          <w:sz w:val="24"/>
          <w:lang w:val="fi-FI"/>
        </w:rPr>
        <w:tab/>
      </w:r>
      <w:r w:rsidRPr="00DE5408">
        <w:rPr>
          <w:sz w:val="24"/>
          <w:lang w:val="fi-FI"/>
        </w:rPr>
        <w:t>EGR-asetuksen 3 artiklan mukaisessa merkityksessä.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3FCAC" w14:textId="77777777" w:rsidR="00064002" w:rsidRPr="00DE540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F8773" w14:textId="77777777" w:rsidR="00064002" w:rsidRPr="00DE540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00EA7" w14:textId="77777777" w:rsidR="00064002" w:rsidRPr="00DE54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8938285">
    <w:abstractNumId w:val="9"/>
  </w:num>
  <w:num w:numId="2" w16cid:durableId="807089720">
    <w:abstractNumId w:val="9"/>
  </w:num>
  <w:num w:numId="3" w16cid:durableId="189804314">
    <w:abstractNumId w:val="7"/>
  </w:num>
  <w:num w:numId="4" w16cid:durableId="451679668">
    <w:abstractNumId w:val="7"/>
  </w:num>
  <w:num w:numId="5" w16cid:durableId="2131586767">
    <w:abstractNumId w:val="6"/>
  </w:num>
  <w:num w:numId="6" w16cid:durableId="2098748920">
    <w:abstractNumId w:val="6"/>
  </w:num>
  <w:num w:numId="7" w16cid:durableId="1265504851">
    <w:abstractNumId w:val="5"/>
  </w:num>
  <w:num w:numId="8" w16cid:durableId="1684437585">
    <w:abstractNumId w:val="5"/>
  </w:num>
  <w:num w:numId="9" w16cid:durableId="1304001915">
    <w:abstractNumId w:val="4"/>
  </w:num>
  <w:num w:numId="10" w16cid:durableId="463618454">
    <w:abstractNumId w:val="4"/>
  </w:num>
  <w:num w:numId="11" w16cid:durableId="317808572">
    <w:abstractNumId w:val="8"/>
  </w:num>
  <w:num w:numId="12" w16cid:durableId="1884751017">
    <w:abstractNumId w:val="8"/>
  </w:num>
  <w:num w:numId="13" w16cid:durableId="1053849350">
    <w:abstractNumId w:val="3"/>
  </w:num>
  <w:num w:numId="14" w16cid:durableId="255796423">
    <w:abstractNumId w:val="3"/>
  </w:num>
  <w:num w:numId="15" w16cid:durableId="293101336">
    <w:abstractNumId w:val="2"/>
  </w:num>
  <w:num w:numId="16" w16cid:durableId="790830326">
    <w:abstractNumId w:val="2"/>
  </w:num>
  <w:num w:numId="17" w16cid:durableId="759451358">
    <w:abstractNumId w:val="1"/>
  </w:num>
  <w:num w:numId="18" w16cid:durableId="1663049274">
    <w:abstractNumId w:val="1"/>
  </w:num>
  <w:num w:numId="19" w16cid:durableId="1564558825">
    <w:abstractNumId w:val="0"/>
  </w:num>
  <w:num w:numId="20" w16cid:durableId="149760448">
    <w:abstractNumId w:val="0"/>
  </w:num>
  <w:num w:numId="21" w16cid:durableId="251285548">
    <w:abstractNumId w:val="9"/>
  </w:num>
  <w:num w:numId="22" w16cid:durableId="1303775430">
    <w:abstractNumId w:val="7"/>
  </w:num>
  <w:num w:numId="23" w16cid:durableId="60565488">
    <w:abstractNumId w:val="6"/>
  </w:num>
  <w:num w:numId="24" w16cid:durableId="1267035565">
    <w:abstractNumId w:val="5"/>
  </w:num>
  <w:num w:numId="25" w16cid:durableId="1855731743">
    <w:abstractNumId w:val="4"/>
  </w:num>
  <w:num w:numId="26" w16cid:durableId="439179641">
    <w:abstractNumId w:val="8"/>
  </w:num>
  <w:num w:numId="27" w16cid:durableId="155611849">
    <w:abstractNumId w:val="3"/>
  </w:num>
  <w:num w:numId="28" w16cid:durableId="774516071">
    <w:abstractNumId w:val="2"/>
  </w:num>
  <w:num w:numId="29" w16cid:durableId="681275099">
    <w:abstractNumId w:val="1"/>
  </w:num>
  <w:num w:numId="30" w16cid:durableId="20665131">
    <w:abstractNumId w:val="0"/>
  </w:num>
  <w:num w:numId="31" w16cid:durableId="119308089">
    <w:abstractNumId w:val="9"/>
  </w:num>
  <w:num w:numId="32" w16cid:durableId="1482772817">
    <w:abstractNumId w:val="7"/>
  </w:num>
  <w:num w:numId="33" w16cid:durableId="1038579739">
    <w:abstractNumId w:val="6"/>
  </w:num>
  <w:num w:numId="34" w16cid:durableId="1051492096">
    <w:abstractNumId w:val="5"/>
  </w:num>
  <w:num w:numId="35" w16cid:durableId="1968853356">
    <w:abstractNumId w:val="4"/>
  </w:num>
  <w:num w:numId="36" w16cid:durableId="1666282239">
    <w:abstractNumId w:val="8"/>
  </w:num>
  <w:num w:numId="37" w16cid:durableId="563225271">
    <w:abstractNumId w:val="3"/>
  </w:num>
  <w:num w:numId="38" w16cid:durableId="1579902379">
    <w:abstractNumId w:val="2"/>
  </w:num>
  <w:num w:numId="39" w16cid:durableId="1669823537">
    <w:abstractNumId w:val="1"/>
  </w:num>
  <w:num w:numId="40" w16cid:durableId="2134247245">
    <w:abstractNumId w:val="0"/>
  </w:num>
  <w:num w:numId="41" w16cid:durableId="1384141044">
    <w:abstractNumId w:val="10"/>
  </w:num>
  <w:num w:numId="42" w16cid:durableId="324087038">
    <w:abstractNumId w:val="10"/>
  </w:num>
  <w:num w:numId="43" w16cid:durableId="726224098">
    <w:abstractNumId w:val="10"/>
  </w:num>
  <w:num w:numId="44" w16cid:durableId="17859967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8/2025"/>
    <w:docVar w:name="dvlangue" w:val="FI"/>
    <w:docVar w:name="dvnumam" w:val="0"/>
    <w:docVar w:name="dvpe" w:val="776.828"/>
    <w:docVar w:name="dvrapporteur" w:val="Esittelijä: "/>
    <w:docVar w:name="dvtitre" w:val="Euroopan parlamentin päätös xx. lokakuuta 2025 ehdotuksesta Euroopan parlamentin ja neuvoston päätökseksi työttömiksi jääneitä työntekijöitä tukevan Euroopan globalisaatiorahaston varojen käyttöönotosta Saksan hakemuksen johdosta – EGF/2025/002 DE/Goodyear 2(COM(2025)0302 – C10-0182/2025 – 2025/0245(BUD))"/>
  </w:docVars>
  <w:rsids>
    <w:rsidRoot w:val="00CC4838"/>
    <w:rsid w:val="00002272"/>
    <w:rsid w:val="00064002"/>
    <w:rsid w:val="000677B9"/>
    <w:rsid w:val="000831BA"/>
    <w:rsid w:val="000A42CC"/>
    <w:rsid w:val="000E7DD9"/>
    <w:rsid w:val="0010095E"/>
    <w:rsid w:val="00125B37"/>
    <w:rsid w:val="001835EE"/>
    <w:rsid w:val="00187494"/>
    <w:rsid w:val="001F32AE"/>
    <w:rsid w:val="002767FF"/>
    <w:rsid w:val="002B18FE"/>
    <w:rsid w:val="002B5493"/>
    <w:rsid w:val="00343214"/>
    <w:rsid w:val="00361C00"/>
    <w:rsid w:val="00395FA1"/>
    <w:rsid w:val="003A124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E25"/>
    <w:rsid w:val="005C2568"/>
    <w:rsid w:val="005F1B17"/>
    <w:rsid w:val="006037C0"/>
    <w:rsid w:val="006631B6"/>
    <w:rsid w:val="00680577"/>
    <w:rsid w:val="006B1D2F"/>
    <w:rsid w:val="006D0405"/>
    <w:rsid w:val="006F74FA"/>
    <w:rsid w:val="007050D9"/>
    <w:rsid w:val="00731ADD"/>
    <w:rsid w:val="00734777"/>
    <w:rsid w:val="00747932"/>
    <w:rsid w:val="00751A4A"/>
    <w:rsid w:val="00756632"/>
    <w:rsid w:val="00762C74"/>
    <w:rsid w:val="00786EC0"/>
    <w:rsid w:val="007D1690"/>
    <w:rsid w:val="007E22AD"/>
    <w:rsid w:val="00817416"/>
    <w:rsid w:val="00842779"/>
    <w:rsid w:val="0085567F"/>
    <w:rsid w:val="00865F67"/>
    <w:rsid w:val="00881A7B"/>
    <w:rsid w:val="008840E5"/>
    <w:rsid w:val="00887B3E"/>
    <w:rsid w:val="008C2AC6"/>
    <w:rsid w:val="008E134C"/>
    <w:rsid w:val="009155A9"/>
    <w:rsid w:val="00930C23"/>
    <w:rsid w:val="0093193B"/>
    <w:rsid w:val="009509D8"/>
    <w:rsid w:val="00950B64"/>
    <w:rsid w:val="0097369B"/>
    <w:rsid w:val="00981893"/>
    <w:rsid w:val="00A14C28"/>
    <w:rsid w:val="00A1687D"/>
    <w:rsid w:val="00A43E52"/>
    <w:rsid w:val="00A4678D"/>
    <w:rsid w:val="00A778C7"/>
    <w:rsid w:val="00A8336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4838"/>
    <w:rsid w:val="00CF071A"/>
    <w:rsid w:val="00D058B8"/>
    <w:rsid w:val="00D56C11"/>
    <w:rsid w:val="00D834A0"/>
    <w:rsid w:val="00D872DF"/>
    <w:rsid w:val="00D91E21"/>
    <w:rsid w:val="00DA7FCD"/>
    <w:rsid w:val="00DE5408"/>
    <w:rsid w:val="00E365E1"/>
    <w:rsid w:val="00E820A4"/>
    <w:rsid w:val="00EB006A"/>
    <w:rsid w:val="00EB4772"/>
    <w:rsid w:val="00ED0D41"/>
    <w:rsid w:val="00ED169E"/>
    <w:rsid w:val="00ED4235"/>
    <w:rsid w:val="00F04346"/>
    <w:rsid w:val="00F075DC"/>
    <w:rsid w:val="00F149E9"/>
    <w:rsid w:val="00F16B1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6B9B5"/>
  <w15:chartTrackingRefBased/>
  <w15:docId w15:val="{D010796B-A8F5-4397-B290-96EC5A0F1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E134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8E134C"/>
    <w:pPr>
      <w:keepNext/>
      <w:spacing w:after="480"/>
      <w:jc w:val="center"/>
    </w:pPr>
    <w:rPr>
      <w:rFonts w:ascii="Arial" w:hAnsi="Arial" w:cs="Arial"/>
      <w:b/>
    </w:rPr>
  </w:style>
  <w:style w:type="paragraph" w:customStyle="1" w:styleId="NormalHanging12a">
    <w:name w:val="NormalHanging12a"/>
    <w:basedOn w:val="Normal"/>
    <w:link w:val="NormalHanging12aChar"/>
    <w:rsid w:val="008E134C"/>
    <w:pPr>
      <w:spacing w:after="240"/>
      <w:ind w:left="567" w:hanging="567"/>
    </w:pPr>
  </w:style>
  <w:style w:type="paragraph" w:styleId="Header">
    <w:name w:val="header"/>
    <w:basedOn w:val="Normal"/>
    <w:link w:val="HeaderChar"/>
    <w:rsid w:val="008E134C"/>
    <w:pPr>
      <w:tabs>
        <w:tab w:val="center" w:pos="4513"/>
        <w:tab w:val="right" w:pos="9026"/>
      </w:tabs>
    </w:pPr>
  </w:style>
  <w:style w:type="character" w:customStyle="1" w:styleId="HeaderChar">
    <w:name w:val="Header Char"/>
    <w:basedOn w:val="DefaultParagraphFont"/>
    <w:link w:val="Header"/>
    <w:rsid w:val="008E134C"/>
    <w:rPr>
      <w:sz w:val="24"/>
      <w:lang w:val="fi-FI"/>
    </w:rPr>
  </w:style>
  <w:style w:type="paragraph" w:customStyle="1" w:styleId="NormalBold24a">
    <w:name w:val="NormalBold24a"/>
    <w:basedOn w:val="Normal"/>
    <w:rsid w:val="008E134C"/>
    <w:pPr>
      <w:spacing w:after="480"/>
    </w:pPr>
    <w:rPr>
      <w:b/>
      <w:bCs/>
    </w:rPr>
  </w:style>
  <w:style w:type="paragraph" w:customStyle="1" w:styleId="EPFooter">
    <w:name w:val="EPFooter"/>
    <w:basedOn w:val="Normal"/>
    <w:rsid w:val="008E134C"/>
    <w:pPr>
      <w:tabs>
        <w:tab w:val="center" w:pos="4535"/>
        <w:tab w:val="right" w:pos="9071"/>
      </w:tabs>
      <w:spacing w:before="240" w:after="240"/>
    </w:pPr>
    <w:rPr>
      <w:color w:val="010000"/>
      <w:sz w:val="22"/>
    </w:rPr>
  </w:style>
  <w:style w:type="paragraph" w:customStyle="1" w:styleId="EPComma">
    <w:name w:val="EPComma"/>
    <w:basedOn w:val="Normal"/>
    <w:rsid w:val="008E134C"/>
    <w:pPr>
      <w:spacing w:before="480" w:after="240"/>
    </w:pPr>
  </w:style>
  <w:style w:type="character" w:styleId="Hyperlink">
    <w:name w:val="Hyperlink"/>
    <w:basedOn w:val="DefaultParagraphFont"/>
    <w:uiPriority w:val="99"/>
    <w:rsid w:val="008E134C"/>
    <w:rPr>
      <w:color w:val="0563C1" w:themeColor="hyperlink"/>
      <w:u w:val="single"/>
    </w:rPr>
  </w:style>
  <w:style w:type="character" w:customStyle="1" w:styleId="NormalHanging12aChar">
    <w:name w:val="NormalHanging12a Char"/>
    <w:basedOn w:val="DefaultParagraphFont"/>
    <w:link w:val="NormalHanging12a"/>
    <w:locked/>
    <w:rsid w:val="008E134C"/>
    <w:rPr>
      <w:sz w:val="24"/>
      <w:lang w:val="fi-FI"/>
    </w:rPr>
  </w:style>
  <w:style w:type="character" w:styleId="Emphasis">
    <w:name w:val="Emphasis"/>
    <w:basedOn w:val="DefaultParagraphFont"/>
    <w:uiPriority w:val="20"/>
    <w:qFormat/>
    <w:rsid w:val="008E134C"/>
    <w:rPr>
      <w:i/>
      <w:iCs/>
    </w:rPr>
  </w:style>
  <w:style w:type="paragraph" w:customStyle="1" w:styleId="Institutionquisigne">
    <w:name w:val="Institution qui signe"/>
    <w:basedOn w:val="Normal"/>
    <w:next w:val="Normal"/>
    <w:rsid w:val="008E134C"/>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8E134C"/>
    <w:pPr>
      <w:keepNext/>
      <w:widowControl/>
      <w:spacing w:before="120"/>
      <w:jc w:val="both"/>
    </w:pPr>
    <w:rPr>
      <w:rFonts w:eastAsiaTheme="minorHAnsi"/>
      <w:szCs w:val="22"/>
      <w:lang w:eastAsia="en-US"/>
    </w:rPr>
  </w:style>
  <w:style w:type="paragraph" w:customStyle="1" w:styleId="Formuledadoption">
    <w:name w:val="Formule d'adoption"/>
    <w:basedOn w:val="Normal"/>
    <w:next w:val="Normal"/>
    <w:rsid w:val="008E134C"/>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8E134C"/>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8E134C"/>
    <w:rPr>
      <w:rFonts w:ascii="Arial" w:hAnsi="Arial" w:cs="Arial"/>
      <w:b/>
      <w:sz w:val="24"/>
      <w:lang w:val="fi-FI"/>
    </w:rPr>
  </w:style>
  <w:style w:type="paragraph" w:customStyle="1" w:styleId="Personnequisigne">
    <w:name w:val="Personne qui signe"/>
    <w:basedOn w:val="Normal"/>
    <w:next w:val="Institutionquisigne"/>
    <w:rsid w:val="008E134C"/>
    <w:pPr>
      <w:widowControl/>
      <w:tabs>
        <w:tab w:val="left" w:pos="5669"/>
      </w:tabs>
      <w:spacing w:line="360" w:lineRule="auto"/>
    </w:pPr>
    <w:rPr>
      <w:rFonts w:eastAsiaTheme="minorHAnsi"/>
      <w:i/>
      <w:szCs w:val="22"/>
      <w:lang w:eastAsia="en-US"/>
    </w:rPr>
  </w:style>
  <w:style w:type="paragraph" w:styleId="Footer">
    <w:name w:val="footer"/>
    <w:basedOn w:val="Normal"/>
    <w:link w:val="FooterChar"/>
    <w:rsid w:val="001835EE"/>
    <w:pPr>
      <w:tabs>
        <w:tab w:val="center" w:pos="4513"/>
        <w:tab w:val="right" w:pos="9026"/>
      </w:tabs>
    </w:pPr>
  </w:style>
  <w:style w:type="character" w:customStyle="1" w:styleId="FooterChar">
    <w:name w:val="Footer Char"/>
    <w:basedOn w:val="DefaultParagraphFont"/>
    <w:link w:val="Footer"/>
    <w:rsid w:val="001835EE"/>
    <w:rPr>
      <w:sz w:val="24"/>
      <w:lang w:val="fi-FI"/>
    </w:rPr>
  </w:style>
  <w:style w:type="paragraph" w:styleId="Revision">
    <w:name w:val="Revision"/>
    <w:hidden/>
    <w:uiPriority w:val="99"/>
    <w:semiHidden/>
    <w:rsid w:val="001835EE"/>
    <w:rPr>
      <w:sz w:val="24"/>
      <w:lang w:val="fi-FI"/>
    </w:rPr>
  </w:style>
  <w:style w:type="character" w:styleId="CommentReference">
    <w:name w:val="annotation reference"/>
    <w:basedOn w:val="DefaultParagraphFont"/>
    <w:rsid w:val="00F16B1F"/>
    <w:rPr>
      <w:sz w:val="16"/>
      <w:szCs w:val="16"/>
    </w:rPr>
  </w:style>
  <w:style w:type="paragraph" w:styleId="CommentText">
    <w:name w:val="annotation text"/>
    <w:basedOn w:val="Normal"/>
    <w:link w:val="CommentTextChar"/>
    <w:rsid w:val="00F16B1F"/>
    <w:rPr>
      <w:sz w:val="20"/>
    </w:rPr>
  </w:style>
  <w:style w:type="character" w:customStyle="1" w:styleId="CommentTextChar">
    <w:name w:val="Comment Text Char"/>
    <w:basedOn w:val="DefaultParagraphFont"/>
    <w:link w:val="CommentText"/>
    <w:rsid w:val="00F16B1F"/>
    <w:rPr>
      <w:lang w:val="fi-FI"/>
    </w:rPr>
  </w:style>
  <w:style w:type="paragraph" w:styleId="CommentSubject">
    <w:name w:val="annotation subject"/>
    <w:basedOn w:val="CommentText"/>
    <w:next w:val="CommentText"/>
    <w:link w:val="CommentSubjectChar"/>
    <w:rsid w:val="00F16B1F"/>
    <w:rPr>
      <w:b/>
      <w:bCs/>
    </w:rPr>
  </w:style>
  <w:style w:type="character" w:customStyle="1" w:styleId="CommentSubjectChar">
    <w:name w:val="Comment Subject Char"/>
    <w:basedOn w:val="CommentTextChar"/>
    <w:link w:val="CommentSubject"/>
    <w:rsid w:val="00F16B1F"/>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1725</Words>
  <Characters>9838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2025-12-15T10:57:00Z</dcterms:created>
  <dcterms:modified xsi:type="dcterms:W3CDTF">2025-12-15T10:57:00Z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P10_TA(2025)0219_</vt:lpwstr>
  </property>
  <property fmtid="{D5CDD505-2E9C-101B-9397-08002B2CF9AE}" pid="4" name="&lt;Type&gt;">
    <vt:lpwstr>RR</vt:lpwstr>
  </property>
</Properties>
</file>