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1BA6" w14:paraId="4F70CC5A" w14:textId="77777777" w:rsidTr="0010095E">
        <w:trPr>
          <w:trHeight w:hRule="exact" w:val="1418"/>
        </w:trPr>
        <w:tc>
          <w:tcPr>
            <w:tcW w:w="6804" w:type="dxa"/>
            <w:shd w:val="clear" w:color="auto" w:fill="auto"/>
            <w:vAlign w:val="center"/>
          </w:tcPr>
          <w:p w14:paraId="3BB538C4" w14:textId="77777777" w:rsidR="00751A4A" w:rsidRPr="005D1BA6" w:rsidRDefault="00716D42" w:rsidP="0010095E">
            <w:pPr>
              <w:pStyle w:val="EPName"/>
            </w:pPr>
            <w:r w:rsidRPr="005D1BA6">
              <w:t>Europski parlament</w:t>
            </w:r>
          </w:p>
          <w:p w14:paraId="324F8F18" w14:textId="77777777" w:rsidR="00751A4A" w:rsidRPr="005D1BA6" w:rsidRDefault="005F1B17" w:rsidP="005F1B17">
            <w:pPr>
              <w:pStyle w:val="EPTerm"/>
              <w:rPr>
                <w:rStyle w:val="HideTWBExt"/>
                <w:noProof w:val="0"/>
                <w:vanish w:val="0"/>
                <w:color w:val="auto"/>
              </w:rPr>
            </w:pPr>
            <w:r w:rsidRPr="005D1BA6">
              <w:t>2024</w:t>
            </w:r>
            <w:r w:rsidR="00817416" w:rsidRPr="005D1BA6">
              <w:t>-202</w:t>
            </w:r>
            <w:r w:rsidRPr="005D1BA6">
              <w:t>9</w:t>
            </w:r>
          </w:p>
        </w:tc>
        <w:tc>
          <w:tcPr>
            <w:tcW w:w="2268" w:type="dxa"/>
            <w:shd w:val="clear" w:color="auto" w:fill="auto"/>
          </w:tcPr>
          <w:p w14:paraId="31316808" w14:textId="77777777" w:rsidR="00751A4A" w:rsidRPr="005D1BA6" w:rsidRDefault="00187494" w:rsidP="0010095E">
            <w:pPr>
              <w:pStyle w:val="EPLogo"/>
            </w:pPr>
            <w:r w:rsidRPr="005D1BA6">
              <w:rPr>
                <w:noProof/>
                <w:lang w:eastAsia="ja-JP"/>
              </w:rPr>
              <w:drawing>
                <wp:inline distT="0" distB="0" distL="0" distR="0" wp14:anchorId="6CBE7439" wp14:editId="617DAD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5C838B" w14:textId="77777777" w:rsidR="00D058B8" w:rsidRPr="005D1BA6" w:rsidRDefault="00D058B8" w:rsidP="004C5D52">
      <w:pPr>
        <w:pStyle w:val="LineTop"/>
      </w:pPr>
    </w:p>
    <w:p w14:paraId="392F4616" w14:textId="77777777" w:rsidR="00680577" w:rsidRPr="005D1BA6" w:rsidRDefault="00716D42" w:rsidP="00680577">
      <w:pPr>
        <w:pStyle w:val="EPBodyTA1"/>
      </w:pPr>
      <w:r w:rsidRPr="005D1BA6">
        <w:t>USVOJENI TEKSTOVI</w:t>
      </w:r>
    </w:p>
    <w:p w14:paraId="65A0849E" w14:textId="77777777" w:rsidR="00D058B8" w:rsidRPr="005D1BA6" w:rsidRDefault="00D058B8" w:rsidP="00D058B8">
      <w:pPr>
        <w:pStyle w:val="LineBottom"/>
      </w:pPr>
    </w:p>
    <w:p w14:paraId="5A0C9E4D" w14:textId="3FBFE45D" w:rsidR="00716D42" w:rsidRPr="005D1BA6" w:rsidRDefault="00716D42" w:rsidP="00716D42">
      <w:pPr>
        <w:pStyle w:val="ATHeading1"/>
      </w:pPr>
      <w:bookmarkStart w:id="0" w:name="TANumber"/>
      <w:r w:rsidRPr="005D1BA6">
        <w:t>P10_TA(2025)0</w:t>
      </w:r>
      <w:r w:rsidR="005E6210">
        <w:t>219</w:t>
      </w:r>
      <w:bookmarkEnd w:id="0"/>
    </w:p>
    <w:p w14:paraId="3121E84F" w14:textId="77777777" w:rsidR="00716D42" w:rsidRPr="005D1BA6" w:rsidRDefault="00716D42" w:rsidP="00716D42">
      <w:pPr>
        <w:pStyle w:val="ATHeading2"/>
      </w:pPr>
      <w:bookmarkStart w:id="1" w:name="title"/>
      <w:r w:rsidRPr="005D1BA6">
        <w:t>Mobilizacija Europskog fonda za prilagodbu globalizaciji: zahtjev EGF/2025/002 DE/Goodyear 2 - Njemačka</w:t>
      </w:r>
      <w:bookmarkEnd w:id="1"/>
    </w:p>
    <w:p w14:paraId="7CD9ED98" w14:textId="77777777" w:rsidR="00716D42" w:rsidRPr="005D1BA6" w:rsidRDefault="00716D42" w:rsidP="00716D42">
      <w:pPr>
        <w:rPr>
          <w:i/>
          <w:vanish/>
        </w:rPr>
      </w:pPr>
      <w:r w:rsidRPr="005D1BA6">
        <w:rPr>
          <w:i/>
        </w:rPr>
        <w:fldChar w:fldCharType="begin"/>
      </w:r>
      <w:r w:rsidRPr="005D1BA6">
        <w:rPr>
          <w:i/>
        </w:rPr>
        <w:instrText xml:space="preserve"> TC"(</w:instrText>
      </w:r>
      <w:bookmarkStart w:id="2" w:name="DocNumber"/>
      <w:r w:rsidRPr="005D1BA6">
        <w:rPr>
          <w:i/>
        </w:rPr>
        <w:instrText>A10-0168/2025</w:instrText>
      </w:r>
      <w:bookmarkEnd w:id="2"/>
      <w:r w:rsidRPr="005D1BA6">
        <w:rPr>
          <w:i/>
        </w:rPr>
        <w:instrText xml:space="preserve"> - Izvjestitelj: Olivier </w:instrText>
      </w:r>
      <w:proofErr w:type="spellStart"/>
      <w:r w:rsidRPr="005D1BA6">
        <w:rPr>
          <w:i/>
        </w:rPr>
        <w:instrText>Chastel</w:instrText>
      </w:r>
      <w:proofErr w:type="spellEnd"/>
      <w:r w:rsidRPr="005D1BA6">
        <w:rPr>
          <w:i/>
        </w:rPr>
        <w:instrText xml:space="preserve">)"\l3 \n&gt; \* MERGEFORMAT </w:instrText>
      </w:r>
      <w:r w:rsidRPr="005D1BA6">
        <w:rPr>
          <w:i/>
        </w:rPr>
        <w:fldChar w:fldCharType="end"/>
      </w:r>
    </w:p>
    <w:p w14:paraId="4F7CEAB0" w14:textId="77777777" w:rsidR="00716D42" w:rsidRPr="005D1BA6" w:rsidRDefault="00716D42" w:rsidP="00716D42">
      <w:pPr>
        <w:rPr>
          <w:vanish/>
        </w:rPr>
      </w:pPr>
      <w:bookmarkStart w:id="3" w:name="Commission"/>
      <w:r w:rsidRPr="005D1BA6">
        <w:rPr>
          <w:vanish/>
        </w:rPr>
        <w:t>Odbor za proračune</w:t>
      </w:r>
      <w:bookmarkEnd w:id="3"/>
    </w:p>
    <w:p w14:paraId="06442F31" w14:textId="77777777" w:rsidR="00716D42" w:rsidRPr="005D1BA6" w:rsidRDefault="00716D42" w:rsidP="00716D42">
      <w:pPr>
        <w:rPr>
          <w:vanish/>
        </w:rPr>
      </w:pPr>
      <w:bookmarkStart w:id="4" w:name="PE"/>
      <w:r w:rsidRPr="005D1BA6">
        <w:rPr>
          <w:vanish/>
        </w:rPr>
        <w:t>PE776.828</w:t>
      </w:r>
      <w:bookmarkEnd w:id="4"/>
    </w:p>
    <w:p w14:paraId="00D328B2" w14:textId="5B481D41" w:rsidR="00716D42" w:rsidRPr="005D1BA6" w:rsidRDefault="00716D42" w:rsidP="00716D42">
      <w:pPr>
        <w:pStyle w:val="ATHeading3"/>
      </w:pPr>
      <w:bookmarkStart w:id="5" w:name="Sujet"/>
      <w:r w:rsidRPr="005D1BA6">
        <w:t xml:space="preserve">Rezolucija Europskog parlamenta od </w:t>
      </w:r>
      <w:r w:rsidR="005D1BA6">
        <w:t>8</w:t>
      </w:r>
      <w:r w:rsidRPr="005D1BA6">
        <w:t xml:space="preserve">. </w:t>
      </w:r>
      <w:r w:rsidR="005D1BA6">
        <w:t xml:space="preserve">listopada </w:t>
      </w:r>
      <w:r w:rsidRPr="005D1BA6">
        <w:t>2025. o Prijedlogu odluke Europskog parlamenta i Vijeća o mobilizaciji Europskog fonda za prilagodbu globalizaciji za radnike koji su proglašeni viškom na temelju zahtjeva iz Njemačke – EGF/2025/002 DE/Goodyear 2</w:t>
      </w:r>
      <w:bookmarkEnd w:id="5"/>
      <w:r w:rsidRPr="005D1BA6">
        <w:t xml:space="preserve"> </w:t>
      </w:r>
      <w:bookmarkStart w:id="6" w:name="References"/>
      <w:r w:rsidRPr="005D1BA6">
        <w:t>(COM(2025)0302 – C10-0182/2025 – 2025/0245(BUD))</w:t>
      </w:r>
      <w:bookmarkEnd w:id="6"/>
    </w:p>
    <w:p w14:paraId="194DF8D6" w14:textId="77777777" w:rsidR="00957461" w:rsidRPr="005D1BA6" w:rsidRDefault="00957461" w:rsidP="00957461">
      <w:pPr>
        <w:pStyle w:val="EPComma"/>
        <w:rPr>
          <w:noProof/>
        </w:rPr>
      </w:pPr>
      <w:r w:rsidRPr="005D1BA6">
        <w:rPr>
          <w:i/>
        </w:rPr>
        <w:t>Europski parlament</w:t>
      </w:r>
      <w:r w:rsidRPr="005D1BA6">
        <w:t>,</w:t>
      </w:r>
    </w:p>
    <w:p w14:paraId="5F4FE981" w14:textId="77777777" w:rsidR="00957461" w:rsidRPr="005D1BA6" w:rsidRDefault="00957461" w:rsidP="00957461">
      <w:pPr>
        <w:pStyle w:val="NormalHanging12a"/>
        <w:rPr>
          <w:noProof/>
        </w:rPr>
      </w:pPr>
      <w:r w:rsidRPr="005D1BA6">
        <w:t>–</w:t>
      </w:r>
      <w:r w:rsidRPr="005D1BA6">
        <w:tab/>
        <w:t>uzimajući u obzir prijedlog Komisije upućen Europskom parlamentu i Vijeću (COM(2025)0302 – C10-0182/2025),</w:t>
      </w:r>
    </w:p>
    <w:p w14:paraId="17BDE9CF" w14:textId="15D9E386" w:rsidR="00957461" w:rsidRPr="005D1BA6" w:rsidRDefault="00957461" w:rsidP="00957461">
      <w:pPr>
        <w:pStyle w:val="NormalHanging12a"/>
        <w:rPr>
          <w:noProof/>
        </w:rPr>
      </w:pPr>
      <w:r w:rsidRPr="005D1BA6">
        <w:t>–</w:t>
      </w:r>
      <w:r w:rsidRPr="005D1BA6">
        <w:tab/>
        <w:t>uzimajući u obzir Uredbu (EU) 2021/691 Europskog parlamenta i Vijeća od 28. travnja 2021. o Europskom fondu za prilagodbu globalizaciji za radnike koji su proglašeni viškom (EGF) i stavljanju izvan snage Uredbe (EU) br. 1309/2013</w:t>
      </w:r>
      <w:r w:rsidRPr="005D1BA6">
        <w:rPr>
          <w:rStyle w:val="FootnoteReference"/>
          <w:noProof/>
        </w:rPr>
        <w:footnoteReference w:id="1"/>
      </w:r>
      <w:r w:rsidRPr="005D1BA6">
        <w:t xml:space="preserve"> („Uredba o EGF-u”),</w:t>
      </w:r>
    </w:p>
    <w:p w14:paraId="6BBF6BE9" w14:textId="77777777" w:rsidR="00957461" w:rsidRPr="005D1BA6" w:rsidRDefault="00957461" w:rsidP="00957461">
      <w:pPr>
        <w:pStyle w:val="NormalHanging12a"/>
        <w:rPr>
          <w:noProof/>
        </w:rPr>
      </w:pPr>
      <w:r w:rsidRPr="005D1BA6">
        <w:t>–</w:t>
      </w:r>
      <w:r w:rsidRPr="005D1BA6">
        <w:tab/>
        <w:t>uzimajući u obzir Uredbu Vijeća (EU, Euratom) 2020/2093 od 17. prosinca 2020. kojom se utvrđuje višegodišnji financijski okvir za razdoblje 2021. – 2027.</w:t>
      </w:r>
      <w:r w:rsidRPr="005D1BA6">
        <w:rPr>
          <w:rStyle w:val="FootnoteReference"/>
          <w:noProof/>
        </w:rPr>
        <w:footnoteReference w:id="2"/>
      </w:r>
      <w:r w:rsidRPr="005D1BA6">
        <w:t>, kako je izmijenjena Uredbom (EU, Euratom) 2024/765</w:t>
      </w:r>
      <w:r w:rsidRPr="005D1BA6">
        <w:rPr>
          <w:rStyle w:val="FootnoteReference"/>
          <w:bdr w:val="none" w:sz="0" w:space="0" w:color="auto" w:frame="1"/>
        </w:rPr>
        <w:footnoteReference w:id="3"/>
      </w:r>
      <w:r w:rsidRPr="005D1BA6">
        <w:t>, a posebno njezin članak 8.,</w:t>
      </w:r>
    </w:p>
    <w:p w14:paraId="299BAEF3" w14:textId="77777777" w:rsidR="00957461" w:rsidRPr="005D1BA6" w:rsidRDefault="00957461" w:rsidP="00957461">
      <w:pPr>
        <w:pStyle w:val="NormalHanging12a"/>
        <w:rPr>
          <w:noProof/>
        </w:rPr>
      </w:pPr>
      <w:r w:rsidRPr="005D1BA6">
        <w:t>–</w:t>
      </w:r>
      <w:r w:rsidRPr="005D1BA6">
        <w:tab/>
        <w:t xml:space="preserve">uzimajući u obzir </w:t>
      </w:r>
      <w:proofErr w:type="spellStart"/>
      <w:r w:rsidRPr="005D1BA6">
        <w:t>Međuinstitucijski</w:t>
      </w:r>
      <w:proofErr w:type="spellEnd"/>
      <w:r w:rsidRPr="005D1BA6">
        <w:t xml:space="preserve"> sporazum od 16. prosinca 2020. između Europskog parlamenta, Vijeća Europske unije i Europske komisije o proračunskoj disciplini, suradnji u proračunskim pitanjima i dobrom financijskom upravljanju te novim vlastitim sredstvima, uključujući plan za uvođenje novih vlastitih sredstava</w:t>
      </w:r>
      <w:r w:rsidRPr="005D1BA6">
        <w:rPr>
          <w:rStyle w:val="FootnoteReference"/>
          <w:noProof/>
        </w:rPr>
        <w:footnoteReference w:id="4"/>
      </w:r>
      <w:r w:rsidRPr="005D1BA6">
        <w:t>, a posebno njegovu točku 9.,</w:t>
      </w:r>
    </w:p>
    <w:p w14:paraId="549369EE" w14:textId="77777777" w:rsidR="00957461" w:rsidRPr="005D1BA6" w:rsidRDefault="00957461" w:rsidP="00957461">
      <w:pPr>
        <w:pStyle w:val="NormalHanging12a"/>
        <w:rPr>
          <w:noProof/>
        </w:rPr>
      </w:pPr>
      <w:r w:rsidRPr="005D1BA6">
        <w:lastRenderedPageBreak/>
        <w:t>–</w:t>
      </w:r>
      <w:r w:rsidRPr="005D1BA6">
        <w:tab/>
        <w:t>uzimajući u obzir pismo Odbora za zapošljavanje i socijalna pitanja,</w:t>
      </w:r>
    </w:p>
    <w:p w14:paraId="3653BE81" w14:textId="77777777" w:rsidR="00957461" w:rsidRPr="005D1BA6" w:rsidRDefault="00957461" w:rsidP="00957461">
      <w:pPr>
        <w:pStyle w:val="NormalHanging12a"/>
      </w:pPr>
      <w:r w:rsidRPr="005D1BA6">
        <w:t>–</w:t>
      </w:r>
      <w:r w:rsidRPr="005D1BA6">
        <w:tab/>
        <w:t>uzimajući u obzir izvješće Odbora za proračune (A10</w:t>
      </w:r>
      <w:r w:rsidRPr="005D1BA6">
        <w:noBreakHyphen/>
        <w:t>0168/2025),</w:t>
      </w:r>
    </w:p>
    <w:p w14:paraId="45C03C0C" w14:textId="77777777" w:rsidR="00957461" w:rsidRPr="005D1BA6" w:rsidRDefault="00957461" w:rsidP="00957461">
      <w:pPr>
        <w:pStyle w:val="NormalHanging12a"/>
        <w:rPr>
          <w:noProof/>
        </w:rPr>
      </w:pPr>
      <w:r w:rsidRPr="005D1BA6">
        <w:t>A.</w:t>
      </w:r>
      <w:r w:rsidRPr="005D1BA6">
        <w:tab/>
        <w:t>budući da je Unija uspostavila zakonodavne i proračunske instrumente kako bi pružila dodatnu potporu radnicima suočenima s posljedicama velikih strukturnih promjena u tokovima svjetske trgovine ili svjetske financijske i gospodarske krize te kako bi im se pomoglo da se ponovno uključe na tržište rada; budući da se ta pomoć ostvaruje u obliku financijske potpore radnicima i poduzećima za koja su radili;</w:t>
      </w:r>
    </w:p>
    <w:p w14:paraId="7ACC6263" w14:textId="77777777" w:rsidR="00957461" w:rsidRPr="005D1BA6" w:rsidRDefault="00957461" w:rsidP="00957461">
      <w:pPr>
        <w:pStyle w:val="NormalHanging12a"/>
      </w:pPr>
      <w:r w:rsidRPr="005D1BA6">
        <w:t xml:space="preserve">B. </w:t>
      </w:r>
      <w:r w:rsidRPr="005D1BA6">
        <w:tab/>
        <w:t>budući da je Njemačka podnijela zahtjev EGF/2025/002 DE/Goodyear 2 za financijski doprinos iz Europskog fonda za prilagodbu globalizaciji (EGF) nakon što je ukupno 1171 radnik proglašen viškom</w:t>
      </w:r>
      <w:r w:rsidRPr="005D1BA6">
        <w:rPr>
          <w:rStyle w:val="FootnoteReference"/>
        </w:rPr>
        <w:footnoteReference w:id="5"/>
      </w:r>
      <w:r w:rsidRPr="005D1BA6">
        <w:t xml:space="preserve"> u gospodarskom sektoru svrstanom u odjeljak 22 NACE-a </w:t>
      </w:r>
      <w:proofErr w:type="spellStart"/>
      <w:r w:rsidRPr="005D1BA6">
        <w:t>Rev</w:t>
      </w:r>
      <w:proofErr w:type="spellEnd"/>
      <w:r w:rsidRPr="005D1BA6">
        <w:t xml:space="preserve">. 2 (Proizvodnja gumenih i plastičnih proizvoda) u regijama oko </w:t>
      </w:r>
      <w:proofErr w:type="spellStart"/>
      <w:r w:rsidRPr="005D1BA6">
        <w:t>Kassela</w:t>
      </w:r>
      <w:proofErr w:type="spellEnd"/>
      <w:r w:rsidRPr="005D1BA6">
        <w:t xml:space="preserve"> (DE73) i </w:t>
      </w:r>
      <w:proofErr w:type="spellStart"/>
      <w:r w:rsidRPr="005D1BA6">
        <w:t>Darmstadta</w:t>
      </w:r>
      <w:proofErr w:type="spellEnd"/>
      <w:r w:rsidRPr="005D1BA6">
        <w:t xml:space="preserve"> (DE71), pri čemu je njih 747 otpušteno u referentnom razdoblju za podnošenje zahtjeva od 1. rujna 2024. do 1. siječnja 2025., a njih 424 prije ili nakon referentnog razdoblja; </w:t>
      </w:r>
    </w:p>
    <w:p w14:paraId="0DE75B7E" w14:textId="77777777" w:rsidR="00957461" w:rsidRPr="005D1BA6" w:rsidRDefault="00957461" w:rsidP="00957461">
      <w:pPr>
        <w:pStyle w:val="NormalHanging12a"/>
      </w:pPr>
      <w:r w:rsidRPr="005D1BA6">
        <w:t>C.</w:t>
      </w:r>
      <w:r w:rsidRPr="005D1BA6">
        <w:tab/>
        <w:t>budući da se za 424 radnika koji su proglašeni viškom i čija je djelatnost prestala prije ili nakon referentnog razdoblja od četiri mjeseca može utvrditi jasna uzročno-posljedična veza s događajem koji je uzrokovao otpuštanja tijekom referentnog razdoblja, kako je propisano člankom 6. stavkom 2. Uredbe o EGF-u;</w:t>
      </w:r>
      <w:r w:rsidRPr="005D1BA6">
        <w:rPr>
          <w:sz w:val="23"/>
        </w:rPr>
        <w:t xml:space="preserve"> </w:t>
      </w:r>
    </w:p>
    <w:p w14:paraId="7FAD970F" w14:textId="77777777" w:rsidR="00957461" w:rsidRPr="005D1BA6" w:rsidRDefault="00957461" w:rsidP="00957461">
      <w:pPr>
        <w:pStyle w:val="NormalHanging12a"/>
      </w:pPr>
      <w:r w:rsidRPr="005D1BA6">
        <w:t xml:space="preserve">D. </w:t>
      </w:r>
      <w:r w:rsidRPr="005D1BA6">
        <w:tab/>
        <w:t>budući da se zahtjev temelji na intervencijskim kriterijima iz članka 4. stavka 2. točke (a) Uredbe o EGF-u kojom se propisuje prestanak djelatnosti najmanje 200 radnika ili samozaposlenih osoba koji su proglašeni viškom tijekom referentnog razdoblja od četiri mjeseca u poduzeću u državi članici, uključujući radnike proglašene viškom kod dobavljača i daljnjih proizvođača;</w:t>
      </w:r>
    </w:p>
    <w:p w14:paraId="418913AF" w14:textId="79AC7E7C" w:rsidR="00957461" w:rsidRPr="00E374F6" w:rsidRDefault="00957461" w:rsidP="00957461">
      <w:pPr>
        <w:pStyle w:val="NormalHanging12a"/>
        <w:rPr>
          <w:noProof/>
        </w:rPr>
      </w:pPr>
      <w:r w:rsidRPr="005D1BA6">
        <w:t xml:space="preserve">E. </w:t>
      </w:r>
      <w:r w:rsidRPr="005D1BA6">
        <w:tab/>
        <w:t>budući da su ruska ratna agresija na Ukrajinu i rastuća inflacija utjecali na troškove energije, materijala i rada, čime se povećao pritisak na maržu poduzeća</w:t>
      </w:r>
      <w:r w:rsidR="003B487A">
        <w:t xml:space="preserve"> Goodyear</w:t>
      </w:r>
      <w:r w:rsidRPr="005D1BA6">
        <w:t>;</w:t>
      </w:r>
      <w:r w:rsidRPr="003B487A">
        <w:t xml:space="preserve"> </w:t>
      </w:r>
    </w:p>
    <w:p w14:paraId="42C4F684" w14:textId="77777777" w:rsidR="00957461" w:rsidRPr="005D1BA6" w:rsidRDefault="00957461" w:rsidP="00957461">
      <w:pPr>
        <w:pStyle w:val="NormalHanging12a"/>
        <w:rPr>
          <w:noProof/>
        </w:rPr>
      </w:pPr>
      <w:r w:rsidRPr="005D1BA6">
        <w:t xml:space="preserve">F. </w:t>
      </w:r>
      <w:r w:rsidRPr="005D1BA6">
        <w:tab/>
        <w:t xml:space="preserve">budući da je poduzeće Goodyear </w:t>
      </w:r>
      <w:proofErr w:type="spellStart"/>
      <w:r w:rsidRPr="005D1BA6">
        <w:t>Germany</w:t>
      </w:r>
      <w:proofErr w:type="spellEnd"/>
      <w:r w:rsidRPr="005D1BA6">
        <w:t xml:space="preserve"> </w:t>
      </w:r>
      <w:proofErr w:type="spellStart"/>
      <w:r w:rsidRPr="005D1BA6">
        <w:t>GmbH</w:t>
      </w:r>
      <w:proofErr w:type="spellEnd"/>
      <w:r w:rsidRPr="005D1BA6">
        <w:t xml:space="preserve"> specijalizirano za proizvodnju proizvoda od gume i plastike, posebno guma; budući da je to poduzeće znatno pogođeno pojačanom konkurencijom jeftinog uvoza iz Azije; </w:t>
      </w:r>
    </w:p>
    <w:p w14:paraId="19320CE8" w14:textId="3CFA343E" w:rsidR="00957461" w:rsidRPr="005D1BA6" w:rsidRDefault="00957461" w:rsidP="00957461">
      <w:pPr>
        <w:pStyle w:val="NormalHanging12a"/>
        <w:rPr>
          <w:noProof/>
        </w:rPr>
      </w:pPr>
      <w:r w:rsidRPr="005D1BA6">
        <w:t>G.</w:t>
      </w:r>
      <w:r w:rsidRPr="005D1BA6">
        <w:tab/>
        <w:t xml:space="preserve">budući da je to druga mobilizacija EGF-a koju su zatražile njemačke vlasti nakon restrukturiranja poduzeća Goodyear jer je EGF mobiliziran nakon zatvaranja </w:t>
      </w:r>
      <w:r w:rsidR="0095634D">
        <w:t xml:space="preserve">jednog od </w:t>
      </w:r>
      <w:r w:rsidRPr="005D1BA6">
        <w:t xml:space="preserve">pogona poduzeća u </w:t>
      </w:r>
      <w:proofErr w:type="spellStart"/>
      <w:r w:rsidRPr="005D1BA6">
        <w:t>Philippsburgu</w:t>
      </w:r>
      <w:proofErr w:type="spellEnd"/>
      <w:r w:rsidRPr="005D1BA6">
        <w:t xml:space="preserve"> 2017.;</w:t>
      </w:r>
    </w:p>
    <w:p w14:paraId="3025E9CA" w14:textId="77777777" w:rsidR="00957461" w:rsidRPr="005D1BA6" w:rsidRDefault="00957461" w:rsidP="00957461">
      <w:pPr>
        <w:pStyle w:val="NormalHanging12a"/>
        <w:rPr>
          <w:noProof/>
        </w:rPr>
      </w:pPr>
      <w:r w:rsidRPr="005D1BA6">
        <w:t>H.</w:t>
      </w:r>
      <w:r w:rsidRPr="005D1BA6">
        <w:rPr>
          <w:color w:val="7030A0"/>
        </w:rPr>
        <w:tab/>
      </w:r>
      <w:r w:rsidRPr="005D1BA6">
        <w:t>budući da su strmoglavo smanjenje potražnje i sve veći troškovi proizvodnje prisilili poduzeće da započne postupak restrukturiranja, koji je uključivao zatvaranje jednog proizvodnog postrojenja i djelomično zatvaranje drugog u Njemačkoj 2024.;</w:t>
      </w:r>
    </w:p>
    <w:p w14:paraId="3986A521" w14:textId="77777777" w:rsidR="00957461" w:rsidRPr="005D1BA6" w:rsidRDefault="00957461" w:rsidP="00957461">
      <w:pPr>
        <w:pStyle w:val="NormalHanging12a"/>
        <w:jc w:val="both"/>
      </w:pPr>
      <w:r w:rsidRPr="005D1BA6">
        <w:t>I.</w:t>
      </w:r>
      <w:r w:rsidRPr="005D1BA6">
        <w:tab/>
        <w:t xml:space="preserve">budući da njemački savezni proračun i </w:t>
      </w:r>
      <w:proofErr w:type="spellStart"/>
      <w:r w:rsidRPr="005D1BA6">
        <w:t>Bundesagentur</w:t>
      </w:r>
      <w:proofErr w:type="spellEnd"/>
      <w:r w:rsidRPr="005D1BA6">
        <w:t xml:space="preserve"> </w:t>
      </w:r>
      <w:proofErr w:type="spellStart"/>
      <w:r w:rsidRPr="005D1BA6">
        <w:t>für</w:t>
      </w:r>
      <w:proofErr w:type="spellEnd"/>
      <w:r w:rsidRPr="005D1BA6">
        <w:t xml:space="preserve"> </w:t>
      </w:r>
      <w:proofErr w:type="spellStart"/>
      <w:r w:rsidRPr="005D1BA6">
        <w:t>Arbeit</w:t>
      </w:r>
      <w:proofErr w:type="spellEnd"/>
      <w:r w:rsidRPr="005D1BA6">
        <w:t xml:space="preserve"> (Savezna agencija za zapošljavanje) osiguravaju nacionalno </w:t>
      </w:r>
      <w:proofErr w:type="spellStart"/>
      <w:r w:rsidRPr="005D1BA6">
        <w:t>pretfinanciranje</w:t>
      </w:r>
      <w:proofErr w:type="spellEnd"/>
      <w:r w:rsidRPr="005D1BA6">
        <w:t xml:space="preserve"> i sufinanciranje mjera;</w:t>
      </w:r>
    </w:p>
    <w:p w14:paraId="7D79A60C" w14:textId="77777777" w:rsidR="00957461" w:rsidRPr="005D1BA6" w:rsidRDefault="00957461" w:rsidP="00E374F6">
      <w:pPr>
        <w:pStyle w:val="NormalHanging12a"/>
      </w:pPr>
      <w:r w:rsidRPr="005D1BA6">
        <w:t>J.</w:t>
      </w:r>
      <w:r w:rsidRPr="005D1BA6">
        <w:tab/>
        <w:t>budući da su ispunjeni zahtjevi utvrđeni zakonodavstvom Unije i nacionalnim zakonodavstvom o kolektivnom otpuštanju;</w:t>
      </w:r>
    </w:p>
    <w:p w14:paraId="3EE40A01" w14:textId="77777777" w:rsidR="00957461" w:rsidRPr="005D1BA6" w:rsidRDefault="00957461" w:rsidP="00957461">
      <w:pPr>
        <w:pStyle w:val="NormalHanging12a"/>
      </w:pPr>
      <w:r w:rsidRPr="005D1BA6">
        <w:t>K.</w:t>
      </w:r>
      <w:r w:rsidRPr="005D1BA6">
        <w:tab/>
        <w:t xml:space="preserve">budući da bi financijski doprinos iz EGF-a ponajprije trebao biti usmjeren na aktivne </w:t>
      </w:r>
      <w:r w:rsidRPr="005D1BA6">
        <w:lastRenderedPageBreak/>
        <w:t>mjere politike tržišta rada i personalizirane usluge čiji je cilj brza reintegracija korisnika na dostojanstvena i održiva radna mjesta u istom ili drugom sektoru, pri čemu ih treba pripremiti na zelenije i digitalnije europsko gospodarstvo;</w:t>
      </w:r>
    </w:p>
    <w:p w14:paraId="4D6094B7" w14:textId="77777777" w:rsidR="00957461" w:rsidRPr="005D1BA6" w:rsidRDefault="00957461" w:rsidP="00957461">
      <w:pPr>
        <w:widowControl/>
        <w:spacing w:after="240"/>
        <w:ind w:left="567" w:hanging="567"/>
        <w:rPr>
          <w:szCs w:val="24"/>
        </w:rPr>
      </w:pPr>
      <w:r w:rsidRPr="005D1BA6">
        <w:t>L.</w:t>
      </w:r>
      <w:r w:rsidRPr="005D1BA6">
        <w:rPr>
          <w:color w:val="7030A0"/>
        </w:rPr>
        <w:tab/>
      </w:r>
      <w:r w:rsidRPr="005D1BA6">
        <w:t xml:space="preserve">budući da EGF ne smije premašiti najveći godišnji iznos od 30 milijuna EUR (u cijenama iz 2018.), kako je utvrđeno člankom 8. Uredbe (EU, Euratom) 2020/2093 kako je izmijenjena Uredbom (EU, Euratom) 2024/765; </w:t>
      </w:r>
    </w:p>
    <w:p w14:paraId="0D360DD8" w14:textId="77777777" w:rsidR="00957461" w:rsidRPr="005D1BA6" w:rsidRDefault="00957461" w:rsidP="00957461">
      <w:pPr>
        <w:pStyle w:val="NormalHanging12a"/>
      </w:pPr>
      <w:r w:rsidRPr="005D1BA6">
        <w:t>1.</w:t>
      </w:r>
      <w:r w:rsidRPr="005D1BA6">
        <w:tab/>
        <w:t>slaže se s Komisijom da su uvjeti iz članka 4. stavka 2. točke (a) Uredbe o EGF-u ispunjeni i da Njemačka u skladu s tom Uredbom ima pravo na financijski doprinos u iznosu od 3 085 166 EUR, odnosno 60 % ukupnog troška od 5 141 944 EUR, što obuhvaća troškove za personalizirane usluge u iznosu od 4 936 274 EUR i troškove za aktivnosti pripreme, upravljanja, informiranja i promidžbe te kontrole i izvješćivanja u iznosu od 205 670 EUR;</w:t>
      </w:r>
    </w:p>
    <w:p w14:paraId="6DBDD761" w14:textId="77777777" w:rsidR="00957461" w:rsidRPr="005D1BA6" w:rsidRDefault="00957461" w:rsidP="00957461">
      <w:pPr>
        <w:pStyle w:val="NormalHanging12a"/>
      </w:pPr>
      <w:r w:rsidRPr="005D1BA6">
        <w:t xml:space="preserve">2. </w:t>
      </w:r>
      <w:r w:rsidRPr="005D1BA6">
        <w:tab/>
        <w:t xml:space="preserve">primjećuje da su njemačke vlasti zahtjev podnijele 10. ožujka 2025. te da je, na temelju dodatnih informacija koje je Njemačka pružila, Komisija ocjenjivanje zahtjeva dovršila, više od četiri mjeseca kasnije, 29. srpnja 2025. i o tome 26. kolovoza 2025. obavijestila Parlament; </w:t>
      </w:r>
    </w:p>
    <w:p w14:paraId="26FCA21F" w14:textId="27C1E771" w:rsidR="00957461" w:rsidRPr="005D1BA6" w:rsidRDefault="00957461" w:rsidP="00957461">
      <w:pPr>
        <w:pStyle w:val="NormalHanging12a"/>
      </w:pPr>
      <w:r w:rsidRPr="005D1BA6">
        <w:t>3.</w:t>
      </w:r>
      <w:r w:rsidRPr="005D1BA6">
        <w:tab/>
      </w:r>
      <w:r w:rsidR="001F3FAF">
        <w:t>prima na znanje</w:t>
      </w:r>
      <w:r w:rsidR="001F3FAF" w:rsidRPr="005D1BA6">
        <w:t xml:space="preserve"> </w:t>
      </w:r>
      <w:r w:rsidRPr="005D1BA6">
        <w:t xml:space="preserve">da se zahtjev odnosi na 1171 radnika koji je proglašen viškom zbog zatvaranja proizvodnog pogona u Fuldi i djelomičnog zatvaranja proizvodnih pogona u </w:t>
      </w:r>
      <w:proofErr w:type="spellStart"/>
      <w:r w:rsidRPr="005D1BA6">
        <w:t>Hanauu</w:t>
      </w:r>
      <w:proofErr w:type="spellEnd"/>
      <w:r w:rsidRPr="005D1BA6">
        <w:t xml:space="preserve">; </w:t>
      </w:r>
      <w:r w:rsidR="001F3FAF">
        <w:t>prima</w:t>
      </w:r>
      <w:r w:rsidRPr="005D1BA6">
        <w:t xml:space="preserve">, nadalje, </w:t>
      </w:r>
      <w:r w:rsidR="001F3FAF">
        <w:t xml:space="preserve">na znanje </w:t>
      </w:r>
      <w:r w:rsidRPr="005D1BA6">
        <w:t>da će ukupno 915 radnika koji su proglašeni viškom biti ciljani korisnici te se očekuje da će sudjelovati u mjerama;</w:t>
      </w:r>
    </w:p>
    <w:p w14:paraId="44E438BB" w14:textId="77777777" w:rsidR="00957461" w:rsidRPr="005D1BA6" w:rsidRDefault="00957461" w:rsidP="00957461">
      <w:pPr>
        <w:pStyle w:val="NormalHanging12a"/>
      </w:pPr>
      <w:r w:rsidRPr="005D1BA6">
        <w:t>4.</w:t>
      </w:r>
      <w:r w:rsidRPr="005D1BA6">
        <w:tab/>
        <w:t xml:space="preserve">prima na znanje da većina radnika koji su proglašeni viškom ima nisku razinu obrazovanja (56 % s nižim srednjoškolskim obrazovanjem ili manje) te da imaju 54 godine ili više (42 %); ističe da su posebno stariji radnici vrlo ranjiva skupina koja se suočava sa znatnim preprekama za ponovno zapošljavanje zbog ograničenih mogućnosti usavršavanja i prekvalifikacije; </w:t>
      </w:r>
    </w:p>
    <w:p w14:paraId="026143FD" w14:textId="54D89F95" w:rsidR="00957461" w:rsidRPr="005D1BA6" w:rsidRDefault="00957461" w:rsidP="00957461">
      <w:pPr>
        <w:pStyle w:val="NormalHanging12a"/>
      </w:pPr>
      <w:r w:rsidRPr="005D1BA6">
        <w:t>5.</w:t>
      </w:r>
      <w:r w:rsidRPr="005D1BA6">
        <w:tab/>
        <w:t xml:space="preserve">ističe da je zbog otpuštanja u poduzeću Goodyear godišnja stopa nezaposlenosti u regiji Fulda povećana </w:t>
      </w:r>
      <w:r w:rsidR="007C5FCC">
        <w:t>za</w:t>
      </w:r>
      <w:r w:rsidRPr="005D1BA6">
        <w:t xml:space="preserve"> više od 10 %, što nerazmjerno utječe na radnike i pojedince starije od 50 godina, od kojih mnogi imaju zastarjele kvalifikacije i vještine koje nisu u skladu s trenutačnim zahtjevima tržišta rada; naglašava da je potrebno brzo djelovati kako bi se spriječio strukturni regionalni pad i naglašava važnost poticanja visokokvalitetnih radnih mjesta usmjerenih na budućnost kako bi se osigurala dugoročna gospodarska i socijalna otpornost;</w:t>
      </w:r>
    </w:p>
    <w:p w14:paraId="687A0385" w14:textId="77777777" w:rsidR="00957461" w:rsidRPr="005D1BA6" w:rsidRDefault="00957461" w:rsidP="00957461">
      <w:pPr>
        <w:pStyle w:val="NormalHanging12a"/>
      </w:pPr>
      <w:r w:rsidRPr="005D1BA6">
        <w:t>6.</w:t>
      </w:r>
      <w:r w:rsidRPr="005D1BA6">
        <w:tab/>
        <w:t>podsjeća na to da se personalizirane usluge koje će se pružati radnicima sastoje od sljedećih mjera: opsežnih mjera usavršavanja ili prekvalifikacije, usmjeravanja i savjetovanja te mjera profesionalne orijentacije i aktivacije, savjetodavnih usluga i bespovratnih sredstava za osnivanje poduzeća, pomoć pri traženju posla, poticaja za usavršavanje i dodatnu zaradu, naknada za osposobljavanje i osposobljavanja u domeni digitalnih vještina; u tom kontekstu naglašava da je dobro osposobljena radna snaga ključna za europsko gospodarstvo otporno na buduće promjene;</w:t>
      </w:r>
    </w:p>
    <w:p w14:paraId="2BE5F184" w14:textId="77777777" w:rsidR="00957461" w:rsidRPr="005D1BA6" w:rsidRDefault="00957461" w:rsidP="00957461">
      <w:pPr>
        <w:pStyle w:val="NormalHanging12a"/>
      </w:pPr>
      <w:r w:rsidRPr="005D1BA6">
        <w:t>7.</w:t>
      </w:r>
      <w:r w:rsidRPr="005D1BA6">
        <w:tab/>
        <w:t>smatra da je društvena odgovornost Unije i država članica da otpuštenim radnicima pruže potrebne kvalifikacije za europsko gospodarstvo otporno na promjene u budućnosti kojim se ostvaruje digitalna i zelena transformacija; stoga smatra da mobilizacija EGF-a treba biti ugrađena u širi politički odgovor;</w:t>
      </w:r>
    </w:p>
    <w:p w14:paraId="2F6F2A86" w14:textId="77777777" w:rsidR="00957461" w:rsidRPr="005D1BA6" w:rsidRDefault="00957461" w:rsidP="00957461">
      <w:pPr>
        <w:pStyle w:val="NormalHanging12a"/>
      </w:pPr>
      <w:r w:rsidRPr="005D1BA6">
        <w:lastRenderedPageBreak/>
        <w:t>8.</w:t>
      </w:r>
      <w:r w:rsidRPr="005D1BA6">
        <w:tab/>
        <w:t>poziva na temeljitu završnu evaluaciju provedenih mjera, uključujući podatke o broju radnika koji su uspješno ponovno uključeni u posao, kao i onih koji su sudjelovali u mjerama osposobljavanja i usavršavanja;</w:t>
      </w:r>
    </w:p>
    <w:p w14:paraId="56BF1ACA" w14:textId="77777777" w:rsidR="00957461" w:rsidRPr="005D1BA6" w:rsidRDefault="00957461" w:rsidP="00957461">
      <w:pPr>
        <w:pStyle w:val="NormalHanging12a"/>
      </w:pPr>
      <w:r w:rsidRPr="005D1BA6">
        <w:t>9.</w:t>
      </w:r>
      <w:r w:rsidRPr="005D1BA6">
        <w:tab/>
        <w:t xml:space="preserve">prima na znanje da je 20. veljače 2025. sklopljeno ukupno 915 trostranih ugovora između Goodyeara, zaposlenika, i poduzeća PMB International </w:t>
      </w:r>
      <w:proofErr w:type="spellStart"/>
      <w:r w:rsidRPr="005D1BA6">
        <w:t>GmbH</w:t>
      </w:r>
      <w:proofErr w:type="spellEnd"/>
      <w:r w:rsidRPr="005D1BA6">
        <w:t xml:space="preserve">, pružatelja usluga koji je izabran za upravljanje prijelaznim poduzećem, pri čemu je predviđen 781 unos za Fuldu i 134 za </w:t>
      </w:r>
      <w:proofErr w:type="spellStart"/>
      <w:r w:rsidRPr="005D1BA6">
        <w:t>Hanau</w:t>
      </w:r>
      <w:proofErr w:type="spellEnd"/>
      <w:r w:rsidRPr="005D1BA6">
        <w:t>; pozdravlja najavu da se očekuje se rast tih brojeva kako bude potpisivano više sporazuma;</w:t>
      </w:r>
    </w:p>
    <w:p w14:paraId="7C73957D" w14:textId="156F068D" w:rsidR="00957461" w:rsidRPr="005D1BA6" w:rsidRDefault="00957461" w:rsidP="00957461">
      <w:pPr>
        <w:pStyle w:val="NormalHanging12a"/>
      </w:pPr>
      <w:r w:rsidRPr="005D1BA6">
        <w:t>10.</w:t>
      </w:r>
      <w:r w:rsidRPr="005D1BA6">
        <w:tab/>
        <w:t xml:space="preserve">prima na znanje da je Njemačka ciljanim korisnicima počela pružati personalizirane usluge 1. studenoga 2024. i da će stoga razdoblje prihvatljivosti za financijski doprinos iz EGF-a trajati od tog datuma do datuma koji nastupi 24 mjeseca nakon stupanja na snagu odluke </w:t>
      </w:r>
      <w:r w:rsidR="003B487A">
        <w:t>priložene ovoj Rezoluciji</w:t>
      </w:r>
      <w:r w:rsidRPr="005D1BA6">
        <w:t>;</w:t>
      </w:r>
    </w:p>
    <w:p w14:paraId="793AE201" w14:textId="5F5B0685" w:rsidR="00957461" w:rsidRPr="005D1BA6" w:rsidRDefault="00957461" w:rsidP="00957461">
      <w:pPr>
        <w:pStyle w:val="NormalHanging12a"/>
        <w:rPr>
          <w:sz w:val="23"/>
          <w:szCs w:val="23"/>
        </w:rPr>
      </w:pPr>
      <w:r w:rsidRPr="005D1BA6">
        <w:t>11.</w:t>
      </w:r>
      <w:r w:rsidRPr="005D1BA6">
        <w:tab/>
        <w:t xml:space="preserve">prima na znanje da Njemačka od 1. studenoga 2024. snosi administrativne izdatke provedbe EGF-a te da ti izdaci stoga ispunjavaju uvjete za financijski doprinos iz EGF-a od tog datuma do datuma koji nastupi 31 mjesec nakon stupanja na snagu odluke </w:t>
      </w:r>
      <w:r w:rsidR="003B487A">
        <w:t>priložene ovoj Rezoluciji</w:t>
      </w:r>
      <w:r w:rsidRPr="005D1BA6">
        <w:t>;</w:t>
      </w:r>
    </w:p>
    <w:p w14:paraId="62FD3B78" w14:textId="77777777" w:rsidR="00957461" w:rsidRPr="005D1BA6" w:rsidRDefault="00957461" w:rsidP="00957461">
      <w:pPr>
        <w:pStyle w:val="NormalHanging12a"/>
      </w:pPr>
      <w:r w:rsidRPr="005D1BA6">
        <w:t>12.</w:t>
      </w:r>
      <w:r w:rsidRPr="005D1BA6">
        <w:tab/>
        <w:t>naglašava da su njemačke vlasti pružile jamstvo da će se u pristupu predloženim mjerama i u njihovoj provedbi poštovati načela jednakog postupanja i nediskriminacije te da će se spriječiti svako dvostruko financiranje;</w:t>
      </w:r>
    </w:p>
    <w:p w14:paraId="27DF5538" w14:textId="77777777" w:rsidR="00957461" w:rsidRPr="005D1BA6" w:rsidRDefault="00957461" w:rsidP="00957461">
      <w:pPr>
        <w:pStyle w:val="NormalHanging12a"/>
      </w:pPr>
      <w:r w:rsidRPr="005D1BA6">
        <w:t>13.</w:t>
      </w:r>
      <w:r w:rsidRPr="005D1BA6">
        <w:tab/>
        <w:t>podsjeća da njemačke vlasti cijene porijeklo i jamče vidljivost financiranja Unije, naglašavajući pritom dodanu vrijednost Unije; naglašava da bi se to trebalo postići ciljanim mjerama informiranja usmjerenima na korisnike, socijalne partnere i medije;</w:t>
      </w:r>
    </w:p>
    <w:p w14:paraId="3DD50B07" w14:textId="77777777" w:rsidR="00957461" w:rsidRPr="005D1BA6" w:rsidRDefault="00957461" w:rsidP="00957461">
      <w:pPr>
        <w:pStyle w:val="NormalHanging12a"/>
      </w:pPr>
      <w:r w:rsidRPr="005D1BA6">
        <w:t>14.</w:t>
      </w:r>
      <w:r w:rsidRPr="005D1BA6">
        <w:tab/>
        <w:t>ponovno ističe da pomoć iz EGF-a ne smije zamijeniti mjere za koje su prema nacionalnom pravu ili kolektivnim ugovorima odgovorna poduzeća;</w:t>
      </w:r>
    </w:p>
    <w:p w14:paraId="3114E289" w14:textId="5FDBEAD7" w:rsidR="00957461" w:rsidRPr="005D1BA6" w:rsidRDefault="00957461" w:rsidP="00957461">
      <w:pPr>
        <w:pStyle w:val="NormalHanging12a"/>
      </w:pPr>
      <w:r w:rsidRPr="005D1BA6">
        <w:t>15.</w:t>
      </w:r>
      <w:r w:rsidRPr="005D1BA6">
        <w:tab/>
        <w:t xml:space="preserve">naglašava hitnu potrebu za dosljednim i koordiniranim naporima </w:t>
      </w:r>
      <w:r w:rsidR="0015370B">
        <w:t>Unije</w:t>
      </w:r>
      <w:r w:rsidRPr="005D1BA6">
        <w:t xml:space="preserve"> u pogledu konkurentnosti, razvijenima u bliskom partnerstvu s državama članicama, kako bi se zaštitila europska baza radnih mjesta u industriji i socijalna sigurnost; ističe da samo snažno i otporno europsko gospodarstvo može učinkovito spriječiti otpuštanja velikih razmjera, čime se u prvom redu smanjuje potreba za intervencijom EGF-a;</w:t>
      </w:r>
    </w:p>
    <w:p w14:paraId="09437731" w14:textId="77777777" w:rsidR="00957461" w:rsidRPr="005D1BA6" w:rsidRDefault="00957461" w:rsidP="00957461">
      <w:pPr>
        <w:pStyle w:val="NormalHanging12a"/>
      </w:pPr>
      <w:r w:rsidRPr="005D1BA6">
        <w:t>16.</w:t>
      </w:r>
      <w:r w:rsidRPr="005D1BA6">
        <w:tab/>
        <w:t>odobrava Odluku priloženu ovoj Rezoluciji;</w:t>
      </w:r>
    </w:p>
    <w:p w14:paraId="7C4048F8" w14:textId="77777777" w:rsidR="00957461" w:rsidRPr="005D1BA6" w:rsidRDefault="00957461" w:rsidP="00957461">
      <w:pPr>
        <w:pStyle w:val="NormalHanging12a"/>
      </w:pPr>
      <w:r w:rsidRPr="005D1BA6">
        <w:t>17.</w:t>
      </w:r>
      <w:r w:rsidRPr="005D1BA6">
        <w:tab/>
        <w:t xml:space="preserve">nalaže svojoj predsjednici da potpiše ovu Odluku zajedno s predsjednikom Vijeća te da je da na objavu u </w:t>
      </w:r>
      <w:r w:rsidRPr="005D1BA6">
        <w:rPr>
          <w:i/>
        </w:rPr>
        <w:t>Službenom listu Europske unije</w:t>
      </w:r>
      <w:r w:rsidRPr="005D1BA6">
        <w:t>;</w:t>
      </w:r>
    </w:p>
    <w:p w14:paraId="493C5ECF" w14:textId="77777777" w:rsidR="00957461" w:rsidRPr="005D1BA6" w:rsidRDefault="00957461" w:rsidP="00957461">
      <w:pPr>
        <w:widowControl/>
        <w:ind w:left="567" w:hanging="567"/>
      </w:pPr>
      <w:r w:rsidRPr="005D1BA6">
        <w:t>18.</w:t>
      </w:r>
      <w:r w:rsidRPr="005D1BA6">
        <w:tab/>
        <w:t>nalaže svojoj predsjednici da ovu Rezoluciju, zajedno s njezinim Prilogom, proslijedi Vijeću i Komisiji.</w:t>
      </w:r>
    </w:p>
    <w:p w14:paraId="2C0E09D6" w14:textId="77777777" w:rsidR="00957461" w:rsidRPr="005D1BA6" w:rsidRDefault="00957461" w:rsidP="00957461">
      <w:pPr>
        <w:pStyle w:val="NormalHanging12a"/>
        <w:rPr>
          <w:noProof/>
        </w:rPr>
      </w:pPr>
    </w:p>
    <w:p w14:paraId="319C1A07" w14:textId="77777777" w:rsidR="00957461" w:rsidRPr="005D1BA6" w:rsidRDefault="00957461" w:rsidP="00957461">
      <w:pPr>
        <w:pStyle w:val="PageHeading"/>
        <w:rPr>
          <w:noProof/>
        </w:rPr>
        <w:sectPr w:rsidR="00957461" w:rsidRPr="005D1BA6" w:rsidSect="0070273B">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120FCD" w14:textId="77777777" w:rsidR="002C10AA" w:rsidRDefault="00957461" w:rsidP="00957461">
      <w:pPr>
        <w:pStyle w:val="PageHeading"/>
      </w:pPr>
      <w:bookmarkStart w:id="7" w:name="_Toc210289491"/>
      <w:r w:rsidRPr="005D1BA6">
        <w:lastRenderedPageBreak/>
        <w:t>PRILOG</w:t>
      </w:r>
    </w:p>
    <w:p w14:paraId="4C9F5CBA" w14:textId="2CAE4ECE" w:rsidR="00957461" w:rsidRPr="005D1BA6" w:rsidRDefault="00957461" w:rsidP="00957461">
      <w:pPr>
        <w:pStyle w:val="PageHeading"/>
        <w:rPr>
          <w:noProof/>
        </w:rPr>
      </w:pPr>
      <w:r w:rsidRPr="005D1BA6">
        <w:t>ODLUKA EUROPSKOG PARLAMENTA I VIJEĆA</w:t>
      </w:r>
      <w:bookmarkEnd w:id="7"/>
    </w:p>
    <w:p w14:paraId="18B531C6" w14:textId="2FA23CF3" w:rsidR="00957461" w:rsidRPr="005D1BA6" w:rsidRDefault="00957461" w:rsidP="002C10AA">
      <w:pPr>
        <w:pStyle w:val="NormalBold24a"/>
        <w:spacing w:before="120" w:after="0"/>
        <w:jc w:val="center"/>
        <w:rPr>
          <w:noProof/>
        </w:rPr>
      </w:pPr>
      <w:r w:rsidRPr="005D1BA6">
        <w:t xml:space="preserve">o mobilizaciji Europskog fonda za prilagodbu globalizaciji za radnike koji su proglašeni viškom na temelju zahtjeva Njemačke </w:t>
      </w:r>
      <w:r w:rsidR="003B487A">
        <w:t>(</w:t>
      </w:r>
      <w:r w:rsidRPr="005D1BA6">
        <w:t>EGF/2025/002 DE/Goodyear 2</w:t>
      </w:r>
      <w:r w:rsidR="003B487A">
        <w:t>)</w:t>
      </w:r>
    </w:p>
    <w:p w14:paraId="3EC81ABB" w14:textId="6C852B6A" w:rsidR="00E87A06" w:rsidRPr="00E87A06" w:rsidRDefault="00E87A06" w:rsidP="00E87A06">
      <w:pPr>
        <w:widowControl/>
        <w:spacing w:before="240"/>
        <w:rPr>
          <w:rFonts w:eastAsia="Calibri"/>
          <w:i/>
          <w:szCs w:val="24"/>
          <w:lang w:eastAsia="en-US"/>
        </w:rPr>
      </w:pPr>
      <w:r w:rsidRPr="00E87A06">
        <w:rPr>
          <w:rFonts w:eastAsia="Calibri"/>
          <w:i/>
          <w:szCs w:val="24"/>
          <w:lang w:eastAsia="en-US"/>
        </w:rPr>
        <w:t xml:space="preserve">(Tekst ovog priloga nije naveden ovdje budući da odgovara konačnom aktu, Odluci </w:t>
      </w:r>
      <w:r>
        <w:rPr>
          <w:rFonts w:eastAsia="Calibri"/>
          <w:i/>
          <w:szCs w:val="24"/>
          <w:lang w:eastAsia="en-US"/>
        </w:rPr>
        <w:t xml:space="preserve">(EU) </w:t>
      </w:r>
      <w:r w:rsidRPr="00E87A06">
        <w:rPr>
          <w:rFonts w:eastAsia="Calibri"/>
          <w:i/>
          <w:szCs w:val="24"/>
          <w:lang w:eastAsia="en-US"/>
        </w:rPr>
        <w:t>2025/</w:t>
      </w:r>
      <w:r>
        <w:rPr>
          <w:rFonts w:eastAsia="Calibri"/>
          <w:i/>
          <w:szCs w:val="24"/>
          <w:lang w:eastAsia="en-US"/>
        </w:rPr>
        <w:t>2135.</w:t>
      </w:r>
      <w:r w:rsidRPr="00E87A06">
        <w:rPr>
          <w:rFonts w:eastAsia="Calibri"/>
          <w:i/>
          <w:szCs w:val="24"/>
          <w:lang w:eastAsia="en-US"/>
        </w:rPr>
        <w:t>)</w:t>
      </w:r>
    </w:p>
    <w:p w14:paraId="7A434979" w14:textId="77777777" w:rsidR="00957461" w:rsidRPr="005D1BA6" w:rsidRDefault="00957461" w:rsidP="00E87A06">
      <w:pPr>
        <w:pStyle w:val="NormalBold24a"/>
        <w:spacing w:before="240" w:after="0"/>
        <w:rPr>
          <w:noProof/>
        </w:rPr>
      </w:pPr>
    </w:p>
    <w:sectPr w:rsidR="00957461" w:rsidRPr="005D1BA6" w:rsidSect="0070273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DAD6F" w14:textId="77777777" w:rsidR="00716D42" w:rsidRPr="0070273B" w:rsidRDefault="00716D42">
      <w:r w:rsidRPr="0070273B">
        <w:separator/>
      </w:r>
    </w:p>
  </w:endnote>
  <w:endnote w:type="continuationSeparator" w:id="0">
    <w:p w14:paraId="14F26CF0" w14:textId="77777777" w:rsidR="00716D42" w:rsidRPr="0070273B" w:rsidRDefault="00716D42">
      <w:r w:rsidRPr="007027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9F8B6" w14:textId="77777777" w:rsidR="00957461" w:rsidRPr="0070273B" w:rsidRDefault="00957461" w:rsidP="004746E3">
    <w:pPr>
      <w:pStyle w:val="EPFooter"/>
    </w:pPr>
    <w:r w:rsidRPr="0070273B">
      <w:t>PE</w:t>
    </w:r>
    <w:r w:rsidRPr="0070273B">
      <w:rPr>
        <w:rStyle w:val="HideTWBExt"/>
      </w:rPr>
      <w:t>&lt;</w:t>
    </w:r>
    <w:proofErr w:type="spellStart"/>
    <w:r w:rsidRPr="0070273B">
      <w:rPr>
        <w:rStyle w:val="HideTWBExt"/>
      </w:rPr>
      <w:t>NoPE</w:t>
    </w:r>
    <w:proofErr w:type="spellEnd"/>
    <w:r w:rsidRPr="0070273B">
      <w:rPr>
        <w:rStyle w:val="HideTWBExt"/>
      </w:rPr>
      <w:t>&gt;</w:t>
    </w:r>
    <w:r w:rsidRPr="0070273B">
      <w:t>776.828</w:t>
    </w:r>
    <w:r w:rsidRPr="0070273B">
      <w:rPr>
        <w:rStyle w:val="HideTWBExt"/>
      </w:rPr>
      <w:t>&lt;/</w:t>
    </w:r>
    <w:proofErr w:type="spellStart"/>
    <w:r w:rsidRPr="0070273B">
      <w:rPr>
        <w:rStyle w:val="HideTWBExt"/>
      </w:rPr>
      <w:t>NoPE</w:t>
    </w:r>
    <w:proofErr w:type="spellEnd"/>
    <w:r w:rsidRPr="0070273B">
      <w:rPr>
        <w:rStyle w:val="HideTWBExt"/>
      </w:rPr>
      <w:t>&gt;&lt;Version&gt;</w:t>
    </w:r>
    <w:r w:rsidRPr="0070273B">
      <w:t>v02-00</w:t>
    </w:r>
    <w:r w:rsidRPr="0070273B">
      <w:rPr>
        <w:rStyle w:val="HideTWBExt"/>
      </w:rPr>
      <w:t>&lt;/</w:t>
    </w:r>
    <w:proofErr w:type="spellStart"/>
    <w:r w:rsidRPr="0070273B">
      <w:rPr>
        <w:rStyle w:val="HideTWBExt"/>
      </w:rPr>
      <w:t>Version</w:t>
    </w:r>
    <w:proofErr w:type="spellEnd"/>
    <w:r w:rsidRPr="0070273B">
      <w:rPr>
        <w:rStyle w:val="HideTWBExt"/>
      </w:rPr>
      <w:t>&gt;</w:t>
    </w:r>
    <w:r w:rsidRPr="0070273B">
      <w:tab/>
    </w:r>
    <w:r w:rsidRPr="0070273B">
      <w:fldChar w:fldCharType="begin"/>
    </w:r>
    <w:r w:rsidRPr="0070273B">
      <w:instrText xml:space="preserve"> PAGE  \* MERGEFORMAT </w:instrText>
    </w:r>
    <w:r w:rsidRPr="0070273B">
      <w:fldChar w:fldCharType="separate"/>
    </w:r>
    <w:r w:rsidRPr="0070273B">
      <w:rPr>
        <w:noProof/>
      </w:rPr>
      <w:t>2</w:t>
    </w:r>
    <w:r w:rsidRPr="0070273B">
      <w:fldChar w:fldCharType="end"/>
    </w:r>
    <w:r w:rsidRPr="0070273B">
      <w:t>/</w:t>
    </w:r>
    <w:r w:rsidR="002C10AA">
      <w:fldChar w:fldCharType="begin"/>
    </w:r>
    <w:r w:rsidR="002C10AA">
      <w:instrText xml:space="preserve"> NUMPAGES  \* MERGEFORMAT </w:instrText>
    </w:r>
    <w:r w:rsidR="002C10AA">
      <w:fldChar w:fldCharType="separate"/>
    </w:r>
    <w:r w:rsidRPr="0070273B">
      <w:rPr>
        <w:noProof/>
      </w:rPr>
      <w:t>18</w:t>
    </w:r>
    <w:r w:rsidR="002C10AA">
      <w:rPr>
        <w:noProof/>
      </w:rPr>
      <w:fldChar w:fldCharType="end"/>
    </w:r>
    <w:r w:rsidRPr="0070273B">
      <w:tab/>
    </w:r>
    <w:r w:rsidRPr="0070273B">
      <w:rPr>
        <w:rStyle w:val="HideTWBExt"/>
      </w:rPr>
      <w:t>&lt;PathFdR&gt;</w:t>
    </w:r>
    <w:r w:rsidRPr="0070273B">
      <w:t>RR\1328613HR.docx</w:t>
    </w:r>
    <w:r w:rsidRPr="0070273B">
      <w:rPr>
        <w:rStyle w:val="HideTWBExt"/>
      </w:rPr>
      <w:t>&lt;/</w:t>
    </w:r>
    <w:proofErr w:type="spellStart"/>
    <w:r w:rsidRPr="0070273B">
      <w:rPr>
        <w:rStyle w:val="HideTWBExt"/>
      </w:rPr>
      <w:t>PathFdR</w:t>
    </w:r>
    <w:proofErr w:type="spellEnd"/>
    <w:r w:rsidRPr="0070273B">
      <w:rPr>
        <w:rStyle w:val="HideTWBExt"/>
      </w:rPr>
      <w:t>&gt;</w:t>
    </w:r>
  </w:p>
  <w:p w14:paraId="44F7375B" w14:textId="77777777" w:rsidR="00957461" w:rsidRPr="0070273B" w:rsidRDefault="00957461" w:rsidP="004746E3">
    <w:pPr>
      <w:pStyle w:val="EPFooter2"/>
    </w:pPr>
    <w:r w:rsidRPr="0070273B">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EF81F" w14:textId="77777777" w:rsidR="00957461" w:rsidRPr="0070273B" w:rsidRDefault="00957461" w:rsidP="004746E3">
    <w:pPr>
      <w:pStyle w:val="EPFooter"/>
    </w:pPr>
    <w:r w:rsidRPr="0070273B">
      <w:rPr>
        <w:rStyle w:val="HideTWBExt"/>
      </w:rPr>
      <w:t>&lt;PathFdR&gt;</w:t>
    </w:r>
    <w:r w:rsidRPr="0070273B">
      <w:t>RR\1328613HR.docx</w:t>
    </w:r>
    <w:r w:rsidRPr="0070273B">
      <w:rPr>
        <w:rStyle w:val="HideTWBExt"/>
      </w:rPr>
      <w:t>&lt;/</w:t>
    </w:r>
    <w:proofErr w:type="spellStart"/>
    <w:r w:rsidRPr="0070273B">
      <w:rPr>
        <w:rStyle w:val="HideTWBExt"/>
      </w:rPr>
      <w:t>PathFdR</w:t>
    </w:r>
    <w:proofErr w:type="spellEnd"/>
    <w:r w:rsidRPr="0070273B">
      <w:rPr>
        <w:rStyle w:val="HideTWBExt"/>
      </w:rPr>
      <w:t>&gt;</w:t>
    </w:r>
    <w:r w:rsidRPr="0070273B">
      <w:tab/>
    </w:r>
    <w:r w:rsidRPr="0070273B">
      <w:tab/>
      <w:t>PE</w:t>
    </w:r>
    <w:r w:rsidRPr="0070273B">
      <w:rPr>
        <w:rStyle w:val="HideTWBExt"/>
      </w:rPr>
      <w:t>&lt;</w:t>
    </w:r>
    <w:proofErr w:type="spellStart"/>
    <w:r w:rsidRPr="0070273B">
      <w:rPr>
        <w:rStyle w:val="HideTWBExt"/>
      </w:rPr>
      <w:t>NoPE</w:t>
    </w:r>
    <w:proofErr w:type="spellEnd"/>
    <w:r w:rsidRPr="0070273B">
      <w:rPr>
        <w:rStyle w:val="HideTWBExt"/>
      </w:rPr>
      <w:t>&gt;</w:t>
    </w:r>
    <w:r w:rsidRPr="0070273B">
      <w:t>776.828</w:t>
    </w:r>
    <w:r w:rsidRPr="0070273B">
      <w:rPr>
        <w:rStyle w:val="HideTWBExt"/>
      </w:rPr>
      <w:t>&lt;/</w:t>
    </w:r>
    <w:proofErr w:type="spellStart"/>
    <w:r w:rsidRPr="0070273B">
      <w:rPr>
        <w:rStyle w:val="HideTWBExt"/>
      </w:rPr>
      <w:t>NoPE</w:t>
    </w:r>
    <w:proofErr w:type="spellEnd"/>
    <w:r w:rsidRPr="0070273B">
      <w:rPr>
        <w:rStyle w:val="HideTWBExt"/>
      </w:rPr>
      <w:t>&gt;&lt;Version&gt;</w:t>
    </w:r>
    <w:r w:rsidRPr="0070273B">
      <w:t>v02-00</w:t>
    </w:r>
    <w:r w:rsidRPr="0070273B">
      <w:rPr>
        <w:rStyle w:val="HideTWBExt"/>
      </w:rPr>
      <w:t>&lt;/</w:t>
    </w:r>
    <w:proofErr w:type="spellStart"/>
    <w:r w:rsidRPr="0070273B">
      <w:rPr>
        <w:rStyle w:val="HideTWBExt"/>
      </w:rPr>
      <w:t>Version</w:t>
    </w:r>
    <w:proofErr w:type="spellEnd"/>
    <w:r w:rsidRPr="0070273B">
      <w:rPr>
        <w:rStyle w:val="HideTWBExt"/>
      </w:rPr>
      <w:t>&gt;</w:t>
    </w:r>
  </w:p>
  <w:p w14:paraId="41017F20" w14:textId="77777777" w:rsidR="00957461" w:rsidRPr="0070273B" w:rsidRDefault="00957461" w:rsidP="004746E3">
    <w:pPr>
      <w:pStyle w:val="EPFooter2"/>
    </w:pPr>
    <w:r w:rsidRPr="0070273B">
      <w:t>HR</w:t>
    </w:r>
    <w:r w:rsidRPr="0070273B">
      <w:tab/>
    </w:r>
    <w:r w:rsidRPr="0070273B">
      <w:rPr>
        <w:b w:val="0"/>
        <w:i/>
        <w:color w:val="C0C0C0"/>
        <w:sz w:val="22"/>
      </w:rPr>
      <w:t>Ujedinjena u raznolikosti</w:t>
    </w:r>
    <w:r w:rsidRPr="0070273B">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AE9BA" w14:textId="77777777" w:rsidR="00064002" w:rsidRPr="0070273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C7EEF" w14:textId="77777777" w:rsidR="00064002" w:rsidRPr="0070273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3684C" w14:textId="77777777" w:rsidR="00064002" w:rsidRPr="007027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8286F" w14:textId="77777777" w:rsidR="00716D42" w:rsidRPr="0070273B" w:rsidRDefault="00716D42">
      <w:r w:rsidRPr="0070273B">
        <w:separator/>
      </w:r>
    </w:p>
  </w:footnote>
  <w:footnote w:type="continuationSeparator" w:id="0">
    <w:p w14:paraId="0C2EB439" w14:textId="77777777" w:rsidR="00716D42" w:rsidRPr="0070273B" w:rsidRDefault="00716D42">
      <w:r w:rsidRPr="0070273B">
        <w:continuationSeparator/>
      </w:r>
    </w:p>
  </w:footnote>
  <w:footnote w:id="1">
    <w:p w14:paraId="016C7948" w14:textId="69A2364E" w:rsidR="00957461" w:rsidRPr="0070273B" w:rsidRDefault="00957461" w:rsidP="0070273B">
      <w:pPr>
        <w:pStyle w:val="FootnoteText"/>
        <w:ind w:left="567" w:hanging="567"/>
        <w:rPr>
          <w:sz w:val="24"/>
          <w:lang w:val="hr-HR"/>
        </w:rPr>
      </w:pPr>
      <w:r w:rsidRPr="0070273B">
        <w:rPr>
          <w:rStyle w:val="FootnoteReference"/>
          <w:sz w:val="24"/>
          <w:lang w:val="hr-HR"/>
        </w:rPr>
        <w:footnoteRef/>
      </w:r>
      <w:r w:rsidR="0070273B" w:rsidRPr="0070273B">
        <w:rPr>
          <w:sz w:val="24"/>
          <w:lang w:val="hr-HR"/>
        </w:rPr>
        <w:t xml:space="preserve"> </w:t>
      </w:r>
      <w:r w:rsidR="0070273B" w:rsidRPr="0070273B">
        <w:rPr>
          <w:sz w:val="24"/>
          <w:lang w:val="hr-HR"/>
        </w:rPr>
        <w:tab/>
      </w:r>
      <w:r w:rsidRPr="0070273B">
        <w:rPr>
          <w:sz w:val="24"/>
          <w:lang w:val="hr-HR"/>
        </w:rPr>
        <w:t xml:space="preserve">SL L 153, 3.5.2021., str. 48., ELI: </w:t>
      </w:r>
      <w:hyperlink r:id="rId1" w:history="1">
        <w:r w:rsidRPr="0070273B">
          <w:rPr>
            <w:rStyle w:val="Hyperlink"/>
            <w:sz w:val="24"/>
            <w:lang w:val="hr-HR"/>
          </w:rPr>
          <w:t>http://data.europa.eu/eli/reg/2021/691/oj</w:t>
        </w:r>
      </w:hyperlink>
      <w:r w:rsidRPr="0070273B">
        <w:rPr>
          <w:sz w:val="24"/>
          <w:lang w:val="hr-HR"/>
        </w:rPr>
        <w:t>.</w:t>
      </w:r>
    </w:p>
  </w:footnote>
  <w:footnote w:id="2">
    <w:p w14:paraId="397579FA" w14:textId="16EA3309" w:rsidR="00957461" w:rsidRPr="0070273B" w:rsidRDefault="00957461" w:rsidP="0070273B">
      <w:pPr>
        <w:pStyle w:val="FootnoteText"/>
        <w:ind w:left="567" w:hanging="567"/>
        <w:rPr>
          <w:sz w:val="24"/>
          <w:lang w:val="hr-HR"/>
        </w:rPr>
      </w:pPr>
      <w:r w:rsidRPr="0070273B">
        <w:rPr>
          <w:rStyle w:val="FootnoteReference"/>
          <w:sz w:val="24"/>
          <w:lang w:val="hr-HR"/>
        </w:rPr>
        <w:footnoteRef/>
      </w:r>
      <w:r w:rsidR="0070273B" w:rsidRPr="0070273B">
        <w:rPr>
          <w:sz w:val="24"/>
          <w:lang w:val="hr-HR"/>
        </w:rPr>
        <w:t xml:space="preserve"> </w:t>
      </w:r>
      <w:r w:rsidR="0070273B" w:rsidRPr="0070273B">
        <w:rPr>
          <w:sz w:val="24"/>
          <w:lang w:val="hr-HR"/>
        </w:rPr>
        <w:tab/>
      </w:r>
      <w:r w:rsidRPr="0070273B">
        <w:rPr>
          <w:sz w:val="24"/>
          <w:lang w:val="hr-HR"/>
        </w:rPr>
        <w:t>SL L 433 I, 22.12.2020., str. </w:t>
      </w:r>
      <w:r w:rsidRPr="0070273B">
        <w:rPr>
          <w:sz w:val="24"/>
          <w:lang w:val="hr-HR"/>
        </w:rPr>
        <w:t xml:space="preserve">11., ELI: </w:t>
      </w:r>
      <w:hyperlink r:id="rId2" w:history="1">
        <w:r w:rsidRPr="0070273B">
          <w:rPr>
            <w:rStyle w:val="Hyperlink"/>
            <w:sz w:val="24"/>
            <w:lang w:val="hr-HR"/>
          </w:rPr>
          <w:t>http://data.europa.eu/eli/reg/2020/2093/oj</w:t>
        </w:r>
      </w:hyperlink>
      <w:r w:rsidRPr="0070273B">
        <w:rPr>
          <w:sz w:val="24"/>
          <w:lang w:val="hr-HR"/>
        </w:rPr>
        <w:t>.</w:t>
      </w:r>
    </w:p>
  </w:footnote>
  <w:footnote w:id="3">
    <w:p w14:paraId="6AD535D9" w14:textId="791BC678" w:rsidR="00957461" w:rsidRPr="0070273B" w:rsidRDefault="00957461" w:rsidP="0070273B">
      <w:pPr>
        <w:pStyle w:val="FootnoteText"/>
        <w:ind w:left="567" w:hanging="567"/>
        <w:rPr>
          <w:sz w:val="24"/>
          <w:lang w:val="hr-HR"/>
        </w:rPr>
      </w:pPr>
      <w:r w:rsidRPr="0070273B">
        <w:rPr>
          <w:rStyle w:val="FootnoteReference"/>
          <w:sz w:val="24"/>
          <w:lang w:val="hr-HR"/>
        </w:rPr>
        <w:footnoteRef/>
      </w:r>
      <w:r w:rsidR="0070273B" w:rsidRPr="0070273B">
        <w:rPr>
          <w:color w:val="333333"/>
          <w:sz w:val="24"/>
          <w:shd w:val="clear" w:color="auto" w:fill="FFFFFF"/>
          <w:lang w:val="hr-HR"/>
        </w:rPr>
        <w:t xml:space="preserve"> </w:t>
      </w:r>
      <w:r w:rsidR="0070273B" w:rsidRPr="0070273B">
        <w:rPr>
          <w:color w:val="333333"/>
          <w:sz w:val="24"/>
          <w:shd w:val="clear" w:color="auto" w:fill="FFFFFF"/>
          <w:lang w:val="hr-HR"/>
        </w:rPr>
        <w:tab/>
      </w:r>
      <w:r w:rsidRPr="00E374F6">
        <w:rPr>
          <w:sz w:val="24"/>
          <w:shd w:val="clear" w:color="auto" w:fill="FFFFFF"/>
          <w:lang w:val="hr-HR"/>
        </w:rPr>
        <w:t xml:space="preserve">Uredba Vijeća (EU, Euratom) 2024/765 od 29. veljače 2024. o izmjeni Uredbe (EU, Euratom) 2020/2093 kojom se utvrđuje višegodišnji financijski okvir za razdoblje 2021. – 2027. </w:t>
      </w:r>
      <w:r w:rsidRPr="00E374F6">
        <w:rPr>
          <w:sz w:val="24"/>
          <w:shd w:val="clear" w:color="auto" w:fill="FFFFFF"/>
          <w:lang w:val="hr-HR"/>
        </w:rPr>
        <w:t>(</w:t>
      </w:r>
      <w:r w:rsidRPr="0095634D">
        <w:rPr>
          <w:sz w:val="24"/>
          <w:lang w:val="hr-HR"/>
        </w:rPr>
        <w:t xml:space="preserve">SL L, 2024/765, 29.2.2024., </w:t>
      </w:r>
      <w:r w:rsidRPr="0070273B">
        <w:rPr>
          <w:sz w:val="24"/>
          <w:lang w:val="hr-HR"/>
        </w:rPr>
        <w:t xml:space="preserve">ELI: </w:t>
      </w:r>
      <w:hyperlink r:id="rId3" w:history="1">
        <w:r w:rsidRPr="0070273B">
          <w:rPr>
            <w:rStyle w:val="Hyperlink"/>
            <w:sz w:val="24"/>
            <w:lang w:val="hr-HR"/>
          </w:rPr>
          <w:t>http://data.europa.eu/eli/reg/2024/765/oj</w:t>
        </w:r>
      </w:hyperlink>
      <w:r w:rsidRPr="00E374F6">
        <w:rPr>
          <w:rStyle w:val="Emphasis"/>
          <w:i w:val="0"/>
          <w:iCs w:val="0"/>
          <w:color w:val="333333"/>
          <w:sz w:val="24"/>
          <w:shd w:val="clear" w:color="auto" w:fill="FFFFFF"/>
          <w:lang w:val="hr-HR"/>
        </w:rPr>
        <w:t>).</w:t>
      </w:r>
    </w:p>
  </w:footnote>
  <w:footnote w:id="4">
    <w:p w14:paraId="107FBCD2" w14:textId="5D18F1FB" w:rsidR="00957461" w:rsidRPr="0070273B" w:rsidRDefault="00957461" w:rsidP="0070273B">
      <w:pPr>
        <w:pStyle w:val="FootnoteText"/>
        <w:ind w:left="567" w:hanging="567"/>
        <w:rPr>
          <w:sz w:val="24"/>
          <w:lang w:val="hr-HR"/>
        </w:rPr>
      </w:pPr>
      <w:r w:rsidRPr="0070273B">
        <w:rPr>
          <w:rStyle w:val="FootnoteReference"/>
          <w:sz w:val="24"/>
          <w:lang w:val="hr-HR"/>
        </w:rPr>
        <w:footnoteRef/>
      </w:r>
      <w:r w:rsidR="0070273B" w:rsidRPr="0070273B">
        <w:rPr>
          <w:sz w:val="24"/>
          <w:lang w:val="hr-HR"/>
        </w:rPr>
        <w:t xml:space="preserve"> </w:t>
      </w:r>
      <w:r w:rsidR="0070273B" w:rsidRPr="0070273B">
        <w:rPr>
          <w:sz w:val="24"/>
          <w:lang w:val="hr-HR"/>
        </w:rPr>
        <w:tab/>
      </w:r>
      <w:r w:rsidRPr="0070273B">
        <w:rPr>
          <w:sz w:val="24"/>
          <w:lang w:val="hr-HR"/>
        </w:rPr>
        <w:t xml:space="preserve">SL L 433 I, 22.12.2020., str. </w:t>
      </w:r>
      <w:r w:rsidRPr="0070273B">
        <w:rPr>
          <w:sz w:val="24"/>
          <w:lang w:val="hr-HR"/>
        </w:rPr>
        <w:t xml:space="preserve">28., ELI: </w:t>
      </w:r>
      <w:hyperlink r:id="rId4" w:history="1">
        <w:r w:rsidRPr="0070273B">
          <w:rPr>
            <w:rStyle w:val="Hyperlink"/>
            <w:sz w:val="24"/>
            <w:lang w:val="hr-HR"/>
          </w:rPr>
          <w:t>http://data.europa.eu/eli/agree_interinstit/2020/1222/oj</w:t>
        </w:r>
      </w:hyperlink>
      <w:r w:rsidRPr="0070273B">
        <w:rPr>
          <w:sz w:val="24"/>
          <w:lang w:val="hr-HR"/>
        </w:rPr>
        <w:t>.</w:t>
      </w:r>
    </w:p>
  </w:footnote>
  <w:footnote w:id="5">
    <w:p w14:paraId="0F7B88DA" w14:textId="4D74F5FF" w:rsidR="00957461" w:rsidRPr="0070273B" w:rsidRDefault="00957461" w:rsidP="0070273B">
      <w:pPr>
        <w:pStyle w:val="FootnoteText"/>
        <w:ind w:left="567" w:hanging="567"/>
        <w:rPr>
          <w:sz w:val="24"/>
          <w:lang w:val="hr-HR"/>
        </w:rPr>
      </w:pPr>
      <w:r w:rsidRPr="0070273B">
        <w:rPr>
          <w:rStyle w:val="FootnoteReference"/>
          <w:sz w:val="24"/>
          <w:lang w:val="hr-HR"/>
        </w:rPr>
        <w:footnoteRef/>
      </w:r>
      <w:r w:rsidR="0070273B" w:rsidRPr="0070273B">
        <w:rPr>
          <w:sz w:val="24"/>
          <w:lang w:val="hr-HR"/>
        </w:rPr>
        <w:t xml:space="preserve"> </w:t>
      </w:r>
      <w:r w:rsidR="0070273B" w:rsidRPr="0070273B">
        <w:rPr>
          <w:sz w:val="24"/>
          <w:lang w:val="hr-HR"/>
        </w:rPr>
        <w:tab/>
      </w:r>
      <w:r w:rsidRPr="0070273B">
        <w:rPr>
          <w:sz w:val="24"/>
          <w:lang w:val="hr-HR"/>
        </w:rPr>
        <w:t>U smislu članka 3. Uredbe o EGF-u.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47A14" w14:textId="77777777" w:rsidR="00064002" w:rsidRPr="0070273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3FBE9" w14:textId="77777777" w:rsidR="00064002" w:rsidRPr="0070273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22A49" w14:textId="77777777" w:rsidR="00064002" w:rsidRPr="007027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5326733">
    <w:abstractNumId w:val="9"/>
  </w:num>
  <w:num w:numId="2" w16cid:durableId="1898929019">
    <w:abstractNumId w:val="9"/>
  </w:num>
  <w:num w:numId="3" w16cid:durableId="2082753379">
    <w:abstractNumId w:val="7"/>
  </w:num>
  <w:num w:numId="4" w16cid:durableId="965087340">
    <w:abstractNumId w:val="7"/>
  </w:num>
  <w:num w:numId="5" w16cid:durableId="1791968705">
    <w:abstractNumId w:val="6"/>
  </w:num>
  <w:num w:numId="6" w16cid:durableId="414134132">
    <w:abstractNumId w:val="6"/>
  </w:num>
  <w:num w:numId="7" w16cid:durableId="624192342">
    <w:abstractNumId w:val="5"/>
  </w:num>
  <w:num w:numId="8" w16cid:durableId="1681466706">
    <w:abstractNumId w:val="5"/>
  </w:num>
  <w:num w:numId="9" w16cid:durableId="344283809">
    <w:abstractNumId w:val="4"/>
  </w:num>
  <w:num w:numId="10" w16cid:durableId="763723637">
    <w:abstractNumId w:val="4"/>
  </w:num>
  <w:num w:numId="11" w16cid:durableId="912932246">
    <w:abstractNumId w:val="8"/>
  </w:num>
  <w:num w:numId="12" w16cid:durableId="1259175433">
    <w:abstractNumId w:val="8"/>
  </w:num>
  <w:num w:numId="13" w16cid:durableId="1502159666">
    <w:abstractNumId w:val="3"/>
  </w:num>
  <w:num w:numId="14" w16cid:durableId="930549928">
    <w:abstractNumId w:val="3"/>
  </w:num>
  <w:num w:numId="15" w16cid:durableId="934704789">
    <w:abstractNumId w:val="2"/>
  </w:num>
  <w:num w:numId="16" w16cid:durableId="920992214">
    <w:abstractNumId w:val="2"/>
  </w:num>
  <w:num w:numId="17" w16cid:durableId="1516266657">
    <w:abstractNumId w:val="1"/>
  </w:num>
  <w:num w:numId="18" w16cid:durableId="1837069947">
    <w:abstractNumId w:val="1"/>
  </w:num>
  <w:num w:numId="19" w16cid:durableId="506680392">
    <w:abstractNumId w:val="0"/>
  </w:num>
  <w:num w:numId="20" w16cid:durableId="1035349337">
    <w:abstractNumId w:val="0"/>
  </w:num>
  <w:num w:numId="21" w16cid:durableId="1839692886">
    <w:abstractNumId w:val="9"/>
  </w:num>
  <w:num w:numId="22" w16cid:durableId="1195728199">
    <w:abstractNumId w:val="7"/>
  </w:num>
  <w:num w:numId="23" w16cid:durableId="899755882">
    <w:abstractNumId w:val="6"/>
  </w:num>
  <w:num w:numId="24" w16cid:durableId="1870410733">
    <w:abstractNumId w:val="5"/>
  </w:num>
  <w:num w:numId="25" w16cid:durableId="1208294764">
    <w:abstractNumId w:val="4"/>
  </w:num>
  <w:num w:numId="26" w16cid:durableId="477263702">
    <w:abstractNumId w:val="8"/>
  </w:num>
  <w:num w:numId="27" w16cid:durableId="558563430">
    <w:abstractNumId w:val="3"/>
  </w:num>
  <w:num w:numId="28" w16cid:durableId="854267463">
    <w:abstractNumId w:val="2"/>
  </w:num>
  <w:num w:numId="29" w16cid:durableId="2070230965">
    <w:abstractNumId w:val="1"/>
  </w:num>
  <w:num w:numId="30" w16cid:durableId="261960850">
    <w:abstractNumId w:val="0"/>
  </w:num>
  <w:num w:numId="31" w16cid:durableId="1351105368">
    <w:abstractNumId w:val="9"/>
  </w:num>
  <w:num w:numId="32" w16cid:durableId="1624388794">
    <w:abstractNumId w:val="7"/>
  </w:num>
  <w:num w:numId="33" w16cid:durableId="1213080161">
    <w:abstractNumId w:val="6"/>
  </w:num>
  <w:num w:numId="34" w16cid:durableId="1088118439">
    <w:abstractNumId w:val="5"/>
  </w:num>
  <w:num w:numId="35" w16cid:durableId="379208485">
    <w:abstractNumId w:val="4"/>
  </w:num>
  <w:num w:numId="36" w16cid:durableId="1290480147">
    <w:abstractNumId w:val="8"/>
  </w:num>
  <w:num w:numId="37" w16cid:durableId="1361903689">
    <w:abstractNumId w:val="3"/>
  </w:num>
  <w:num w:numId="38" w16cid:durableId="921838767">
    <w:abstractNumId w:val="2"/>
  </w:num>
  <w:num w:numId="39" w16cid:durableId="1985427875">
    <w:abstractNumId w:val="1"/>
  </w:num>
  <w:num w:numId="40" w16cid:durableId="1720782829">
    <w:abstractNumId w:val="0"/>
  </w:num>
  <w:num w:numId="41" w16cid:durableId="476724327">
    <w:abstractNumId w:val="10"/>
  </w:num>
  <w:num w:numId="42" w16cid:durableId="820196846">
    <w:abstractNumId w:val="10"/>
  </w:num>
  <w:num w:numId="43" w16cid:durableId="2048407359">
    <w:abstractNumId w:val="10"/>
  </w:num>
  <w:num w:numId="44" w16cid:durableId="10450608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8/2025"/>
    <w:docVar w:name="dvlangue" w:val="HR"/>
    <w:docVar w:name="dvnumam" w:val="0"/>
    <w:docVar w:name="dvpe" w:val="776.828"/>
    <w:docVar w:name="dvrapporteur" w:val="Izvjestitelj: "/>
    <w:docVar w:name="dvtitre" w:val="Rezolucija Europskog parlamenta od .... 2025.  o Prijedlogu odluke Europskog parlamenta i Vijeća o mobilizaciji Europskog fonda za prilagodbu globalizaciji za radnike koji su proglašeni viškom na temelju zahtjeva iz Njemačke – EGF/2025/002 DE/Goodyear 2(COM(2025)0302 – C10-0182/2025 – 2025/0245(BUD))"/>
  </w:docVars>
  <w:rsids>
    <w:rsidRoot w:val="00716D42"/>
    <w:rsid w:val="00002272"/>
    <w:rsid w:val="00064002"/>
    <w:rsid w:val="000677B9"/>
    <w:rsid w:val="000831BA"/>
    <w:rsid w:val="000A42CC"/>
    <w:rsid w:val="000E7DD9"/>
    <w:rsid w:val="0010095E"/>
    <w:rsid w:val="00125B37"/>
    <w:rsid w:val="0015370B"/>
    <w:rsid w:val="00187494"/>
    <w:rsid w:val="001F32AE"/>
    <w:rsid w:val="001F3FAF"/>
    <w:rsid w:val="002767FF"/>
    <w:rsid w:val="002B18FE"/>
    <w:rsid w:val="002B5493"/>
    <w:rsid w:val="002C10AA"/>
    <w:rsid w:val="00343214"/>
    <w:rsid w:val="00361C00"/>
    <w:rsid w:val="00395FA1"/>
    <w:rsid w:val="003B487A"/>
    <w:rsid w:val="003E15D4"/>
    <w:rsid w:val="00411CCE"/>
    <w:rsid w:val="0041666E"/>
    <w:rsid w:val="00421060"/>
    <w:rsid w:val="00471C19"/>
    <w:rsid w:val="00480EFA"/>
    <w:rsid w:val="004867E3"/>
    <w:rsid w:val="00494A28"/>
    <w:rsid w:val="004C0004"/>
    <w:rsid w:val="004C5D52"/>
    <w:rsid w:val="0050519A"/>
    <w:rsid w:val="005072A1"/>
    <w:rsid w:val="00514517"/>
    <w:rsid w:val="00545827"/>
    <w:rsid w:val="00560270"/>
    <w:rsid w:val="005673EE"/>
    <w:rsid w:val="005C2568"/>
    <w:rsid w:val="005D1BA6"/>
    <w:rsid w:val="005E6210"/>
    <w:rsid w:val="005F1B17"/>
    <w:rsid w:val="006037C0"/>
    <w:rsid w:val="006631B6"/>
    <w:rsid w:val="00680577"/>
    <w:rsid w:val="006F74FA"/>
    <w:rsid w:val="0070273B"/>
    <w:rsid w:val="00716D42"/>
    <w:rsid w:val="00731ADD"/>
    <w:rsid w:val="00734777"/>
    <w:rsid w:val="00747932"/>
    <w:rsid w:val="00751A4A"/>
    <w:rsid w:val="00753BA4"/>
    <w:rsid w:val="00756632"/>
    <w:rsid w:val="00762C74"/>
    <w:rsid w:val="00786EC0"/>
    <w:rsid w:val="007C2A5E"/>
    <w:rsid w:val="007C432D"/>
    <w:rsid w:val="007C5FCC"/>
    <w:rsid w:val="007D1690"/>
    <w:rsid w:val="007E189B"/>
    <w:rsid w:val="007E22AD"/>
    <w:rsid w:val="00817416"/>
    <w:rsid w:val="00842779"/>
    <w:rsid w:val="00865F67"/>
    <w:rsid w:val="00881A7B"/>
    <w:rsid w:val="008840E5"/>
    <w:rsid w:val="00887B3E"/>
    <w:rsid w:val="008C2AC6"/>
    <w:rsid w:val="008F5039"/>
    <w:rsid w:val="00930C23"/>
    <w:rsid w:val="0093193B"/>
    <w:rsid w:val="009431BD"/>
    <w:rsid w:val="009509D8"/>
    <w:rsid w:val="00950B64"/>
    <w:rsid w:val="0095634D"/>
    <w:rsid w:val="00957461"/>
    <w:rsid w:val="00981893"/>
    <w:rsid w:val="00A1687D"/>
    <w:rsid w:val="00A43E52"/>
    <w:rsid w:val="00A4678D"/>
    <w:rsid w:val="00A778C7"/>
    <w:rsid w:val="00AB441E"/>
    <w:rsid w:val="00AB6293"/>
    <w:rsid w:val="00AE0928"/>
    <w:rsid w:val="00AF3B82"/>
    <w:rsid w:val="00B12E95"/>
    <w:rsid w:val="00B22876"/>
    <w:rsid w:val="00B558F0"/>
    <w:rsid w:val="00BC3DC5"/>
    <w:rsid w:val="00BD2974"/>
    <w:rsid w:val="00BD48FE"/>
    <w:rsid w:val="00BD7BD8"/>
    <w:rsid w:val="00BE6ADC"/>
    <w:rsid w:val="00C05BFE"/>
    <w:rsid w:val="00C23CD4"/>
    <w:rsid w:val="00C61C0C"/>
    <w:rsid w:val="00C941CB"/>
    <w:rsid w:val="00CC2357"/>
    <w:rsid w:val="00CC7C50"/>
    <w:rsid w:val="00CF071A"/>
    <w:rsid w:val="00D058B8"/>
    <w:rsid w:val="00D56C11"/>
    <w:rsid w:val="00D64533"/>
    <w:rsid w:val="00D834A0"/>
    <w:rsid w:val="00D872DF"/>
    <w:rsid w:val="00D91E21"/>
    <w:rsid w:val="00DA3A20"/>
    <w:rsid w:val="00DA7FCD"/>
    <w:rsid w:val="00E10817"/>
    <w:rsid w:val="00E365E1"/>
    <w:rsid w:val="00E374F6"/>
    <w:rsid w:val="00E820A4"/>
    <w:rsid w:val="00E87A06"/>
    <w:rsid w:val="00EB006A"/>
    <w:rsid w:val="00EB4772"/>
    <w:rsid w:val="00ED169E"/>
    <w:rsid w:val="00ED4235"/>
    <w:rsid w:val="00F04346"/>
    <w:rsid w:val="00F075DC"/>
    <w:rsid w:val="00F149E9"/>
    <w:rsid w:val="00F5134D"/>
    <w:rsid w:val="00F74202"/>
    <w:rsid w:val="00F87713"/>
    <w:rsid w:val="00FB4360"/>
    <w:rsid w:val="00FD0C70"/>
    <w:rsid w:val="00FD2AC3"/>
    <w:rsid w:val="00FE176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8FB1D"/>
  <w15:chartTrackingRefBased/>
  <w15:docId w15:val="{1FFC32C4-A94A-41F8-BDB7-23C09D6B2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5746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957461"/>
    <w:pPr>
      <w:keepNext/>
      <w:spacing w:after="480"/>
      <w:jc w:val="center"/>
    </w:pPr>
    <w:rPr>
      <w:rFonts w:ascii="Arial" w:hAnsi="Arial" w:cs="Arial"/>
      <w:b/>
    </w:rPr>
  </w:style>
  <w:style w:type="paragraph" w:customStyle="1" w:styleId="NormalHanging12a">
    <w:name w:val="NormalHanging12a"/>
    <w:basedOn w:val="Normal"/>
    <w:link w:val="NormalHanging12aChar"/>
    <w:rsid w:val="00957461"/>
    <w:pPr>
      <w:spacing w:after="240"/>
      <w:ind w:left="567" w:hanging="567"/>
    </w:pPr>
  </w:style>
  <w:style w:type="paragraph" w:styleId="Header">
    <w:name w:val="header"/>
    <w:basedOn w:val="Normal"/>
    <w:link w:val="HeaderChar"/>
    <w:rsid w:val="00957461"/>
    <w:pPr>
      <w:tabs>
        <w:tab w:val="center" w:pos="4513"/>
        <w:tab w:val="right" w:pos="9026"/>
      </w:tabs>
    </w:pPr>
  </w:style>
  <w:style w:type="character" w:customStyle="1" w:styleId="HeaderChar">
    <w:name w:val="Header Char"/>
    <w:basedOn w:val="DefaultParagraphFont"/>
    <w:link w:val="Header"/>
    <w:rsid w:val="00957461"/>
    <w:rPr>
      <w:sz w:val="24"/>
      <w:lang w:val="hr-HR"/>
    </w:rPr>
  </w:style>
  <w:style w:type="paragraph" w:customStyle="1" w:styleId="NormalBold24a">
    <w:name w:val="NormalBold24a"/>
    <w:basedOn w:val="Normal"/>
    <w:rsid w:val="00957461"/>
    <w:pPr>
      <w:spacing w:after="480"/>
    </w:pPr>
    <w:rPr>
      <w:b/>
      <w:bCs/>
    </w:rPr>
  </w:style>
  <w:style w:type="paragraph" w:customStyle="1" w:styleId="EPFooter">
    <w:name w:val="EPFooter"/>
    <w:basedOn w:val="Normal"/>
    <w:rsid w:val="00957461"/>
    <w:pPr>
      <w:tabs>
        <w:tab w:val="center" w:pos="4535"/>
        <w:tab w:val="right" w:pos="9071"/>
      </w:tabs>
      <w:spacing w:before="240" w:after="240"/>
    </w:pPr>
    <w:rPr>
      <w:color w:val="010000"/>
      <w:sz w:val="22"/>
    </w:rPr>
  </w:style>
  <w:style w:type="paragraph" w:customStyle="1" w:styleId="EPComma">
    <w:name w:val="EPComma"/>
    <w:basedOn w:val="Normal"/>
    <w:rsid w:val="00957461"/>
    <w:pPr>
      <w:spacing w:before="480" w:after="240"/>
    </w:pPr>
  </w:style>
  <w:style w:type="character" w:styleId="Hyperlink">
    <w:name w:val="Hyperlink"/>
    <w:basedOn w:val="DefaultParagraphFont"/>
    <w:rsid w:val="00957461"/>
    <w:rPr>
      <w:color w:val="0563C1" w:themeColor="hyperlink"/>
      <w:u w:val="single"/>
    </w:rPr>
  </w:style>
  <w:style w:type="character" w:customStyle="1" w:styleId="NormalHanging12aChar">
    <w:name w:val="NormalHanging12a Char"/>
    <w:basedOn w:val="DefaultParagraphFont"/>
    <w:link w:val="NormalHanging12a"/>
    <w:locked/>
    <w:rsid w:val="00957461"/>
    <w:rPr>
      <w:sz w:val="24"/>
      <w:lang w:val="hr-HR"/>
    </w:rPr>
  </w:style>
  <w:style w:type="character" w:styleId="Emphasis">
    <w:name w:val="Emphasis"/>
    <w:basedOn w:val="DefaultParagraphFont"/>
    <w:uiPriority w:val="20"/>
    <w:qFormat/>
    <w:rsid w:val="00957461"/>
    <w:rPr>
      <w:i/>
      <w:iCs/>
    </w:rPr>
  </w:style>
  <w:style w:type="paragraph" w:customStyle="1" w:styleId="Institutionquisigne">
    <w:name w:val="Institution qui signe"/>
    <w:basedOn w:val="Normal"/>
    <w:next w:val="Normal"/>
    <w:rsid w:val="00957461"/>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95746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5746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5746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57461"/>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957461"/>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957461"/>
    <w:rPr>
      <w:rFonts w:ascii="Arial" w:hAnsi="Arial" w:cs="Arial"/>
      <w:b/>
      <w:sz w:val="24"/>
      <w:lang w:val="hr-HR"/>
    </w:rPr>
  </w:style>
  <w:style w:type="paragraph" w:styleId="Footer">
    <w:name w:val="footer"/>
    <w:basedOn w:val="Normal"/>
    <w:link w:val="FooterChar"/>
    <w:rsid w:val="005D1BA6"/>
    <w:pPr>
      <w:tabs>
        <w:tab w:val="center" w:pos="4513"/>
        <w:tab w:val="right" w:pos="9026"/>
      </w:tabs>
    </w:pPr>
  </w:style>
  <w:style w:type="character" w:customStyle="1" w:styleId="FooterChar">
    <w:name w:val="Footer Char"/>
    <w:basedOn w:val="DefaultParagraphFont"/>
    <w:link w:val="Footer"/>
    <w:rsid w:val="005D1BA6"/>
    <w:rPr>
      <w:sz w:val="24"/>
      <w:lang w:val="hr-HR"/>
    </w:rPr>
  </w:style>
  <w:style w:type="paragraph" w:customStyle="1" w:styleId="Personnequisigne">
    <w:name w:val="Personne qui signe"/>
    <w:basedOn w:val="Normal"/>
    <w:next w:val="Institutionquisigne"/>
    <w:rsid w:val="005D1BA6"/>
    <w:pPr>
      <w:widowControl/>
      <w:tabs>
        <w:tab w:val="left" w:pos="4252"/>
      </w:tabs>
    </w:pPr>
    <w:rPr>
      <w:rFonts w:eastAsiaTheme="minorHAnsi"/>
      <w:i/>
      <w:szCs w:val="22"/>
      <w:lang w:eastAsia="en-US"/>
    </w:rPr>
  </w:style>
  <w:style w:type="paragraph" w:styleId="Revision">
    <w:name w:val="Revision"/>
    <w:hidden/>
    <w:uiPriority w:val="99"/>
    <w:semiHidden/>
    <w:rsid w:val="003B487A"/>
    <w:rPr>
      <w:sz w:val="24"/>
      <w:lang w:val="hr-HR"/>
    </w:rPr>
  </w:style>
  <w:style w:type="character" w:styleId="UnresolvedMention">
    <w:name w:val="Unresolved Mention"/>
    <w:basedOn w:val="DefaultParagraphFont"/>
    <w:uiPriority w:val="99"/>
    <w:semiHidden/>
    <w:unhideWhenUsed/>
    <w:rsid w:val="00FE1767"/>
    <w:rPr>
      <w:color w:val="605E5C"/>
      <w:shd w:val="clear" w:color="auto" w:fill="E1DFDD"/>
    </w:rPr>
  </w:style>
  <w:style w:type="character" w:styleId="FollowedHyperlink">
    <w:name w:val="FollowedHyperlink"/>
    <w:basedOn w:val="DefaultParagraphFont"/>
    <w:rsid w:val="009431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14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1527</Words>
  <Characters>9095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2025-12-15T15:38:00Z</dcterms:created>
  <dcterms:modified xsi:type="dcterms:W3CDTF">2025-12-15T15:38:00Z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P10_TA(2025)0219_</vt:lpwstr>
  </property>
  <property fmtid="{D5CDD505-2E9C-101B-9397-08002B2CF9AE}" pid="4" name="&lt;Type&gt;">
    <vt:lpwstr>RR</vt:lpwstr>
  </property>
</Properties>
</file>