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757F" w14:paraId="3A7DAAC3" w14:textId="77777777" w:rsidTr="0010095E">
        <w:trPr>
          <w:trHeight w:hRule="exact" w:val="1418"/>
        </w:trPr>
        <w:tc>
          <w:tcPr>
            <w:tcW w:w="6804" w:type="dxa"/>
            <w:shd w:val="clear" w:color="auto" w:fill="auto"/>
            <w:vAlign w:val="center"/>
          </w:tcPr>
          <w:p w14:paraId="2EAA49D6" w14:textId="77777777" w:rsidR="00751A4A" w:rsidRPr="0083757F" w:rsidRDefault="00AD4E92" w:rsidP="0010095E">
            <w:pPr>
              <w:pStyle w:val="EPName"/>
            </w:pPr>
            <w:r w:rsidRPr="0083757F">
              <w:t>Europos Parlamentas</w:t>
            </w:r>
          </w:p>
          <w:p w14:paraId="55DF62F1" w14:textId="77777777" w:rsidR="00751A4A" w:rsidRPr="0083757F" w:rsidRDefault="005F1B17" w:rsidP="005F1B17">
            <w:pPr>
              <w:pStyle w:val="EPTerm"/>
              <w:rPr>
                <w:rStyle w:val="HideTWBExt"/>
                <w:noProof w:val="0"/>
                <w:vanish w:val="0"/>
                <w:color w:val="auto"/>
              </w:rPr>
            </w:pPr>
            <w:r w:rsidRPr="0083757F">
              <w:t>2024</w:t>
            </w:r>
            <w:r w:rsidR="00817416" w:rsidRPr="0083757F">
              <w:t>-202</w:t>
            </w:r>
            <w:r w:rsidRPr="0083757F">
              <w:t>9</w:t>
            </w:r>
          </w:p>
        </w:tc>
        <w:tc>
          <w:tcPr>
            <w:tcW w:w="2268" w:type="dxa"/>
            <w:shd w:val="clear" w:color="auto" w:fill="auto"/>
          </w:tcPr>
          <w:p w14:paraId="75E3AD56" w14:textId="77777777" w:rsidR="00751A4A" w:rsidRPr="0083757F" w:rsidRDefault="00187494" w:rsidP="0010095E">
            <w:pPr>
              <w:pStyle w:val="EPLogo"/>
            </w:pPr>
            <w:r w:rsidRPr="0083757F">
              <w:rPr>
                <w:noProof/>
                <w:lang w:eastAsia="ja-JP"/>
              </w:rPr>
              <w:drawing>
                <wp:inline distT="0" distB="0" distL="0" distR="0" wp14:anchorId="270428E1" wp14:editId="65A116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0CD1B0" w14:textId="77777777" w:rsidR="00D058B8" w:rsidRPr="0083757F" w:rsidRDefault="00D058B8" w:rsidP="004C5D52">
      <w:pPr>
        <w:pStyle w:val="LineTop"/>
      </w:pPr>
    </w:p>
    <w:p w14:paraId="40D4EE0E" w14:textId="77777777" w:rsidR="00680577" w:rsidRPr="0083757F" w:rsidRDefault="00AD4E92" w:rsidP="00680577">
      <w:pPr>
        <w:pStyle w:val="EPBodyTA1"/>
      </w:pPr>
      <w:r w:rsidRPr="0083757F">
        <w:t>PRIIMTI TEKSTAI</w:t>
      </w:r>
    </w:p>
    <w:p w14:paraId="43BD73DE" w14:textId="77777777" w:rsidR="00D058B8" w:rsidRPr="0083757F" w:rsidRDefault="00D058B8" w:rsidP="00D058B8">
      <w:pPr>
        <w:pStyle w:val="LineBottom"/>
      </w:pPr>
    </w:p>
    <w:p w14:paraId="5612E1E4" w14:textId="5A80FA1D" w:rsidR="00AD4E92" w:rsidRPr="0083757F" w:rsidRDefault="00AD4E92" w:rsidP="00AD4E92">
      <w:pPr>
        <w:pStyle w:val="ATHeading1"/>
      </w:pPr>
      <w:bookmarkStart w:id="0" w:name="TANumber"/>
      <w:r w:rsidRPr="0083757F">
        <w:t>P10_TA(2025)0</w:t>
      </w:r>
      <w:r w:rsidR="007A5424">
        <w:t>219</w:t>
      </w:r>
      <w:bookmarkEnd w:id="0"/>
    </w:p>
    <w:p w14:paraId="2D70C44B" w14:textId="77777777" w:rsidR="00AD4E92" w:rsidRPr="0083757F" w:rsidRDefault="00AD4E92" w:rsidP="00AD4E92">
      <w:pPr>
        <w:pStyle w:val="ATHeading2"/>
      </w:pPr>
      <w:bookmarkStart w:id="1" w:name="title"/>
      <w:r w:rsidRPr="0083757F">
        <w:t>Europos prisitaikymo prie globalizacijos padarinių fondo lėšų mobilizavimas: Vokietijos paraiška „EGF/2025/002 DE/Goodyear 2“</w:t>
      </w:r>
      <w:bookmarkEnd w:id="1"/>
    </w:p>
    <w:p w14:paraId="5A272A44" w14:textId="77777777" w:rsidR="00AD4E92" w:rsidRPr="0083757F" w:rsidRDefault="00AD4E92" w:rsidP="00AD4E92">
      <w:pPr>
        <w:rPr>
          <w:i/>
          <w:vanish/>
        </w:rPr>
      </w:pPr>
      <w:r w:rsidRPr="0083757F">
        <w:rPr>
          <w:i/>
        </w:rPr>
        <w:fldChar w:fldCharType="begin"/>
      </w:r>
      <w:r w:rsidRPr="0083757F">
        <w:rPr>
          <w:i/>
        </w:rPr>
        <w:instrText xml:space="preserve"> TC"(</w:instrText>
      </w:r>
      <w:bookmarkStart w:id="2" w:name="DocNumber"/>
      <w:r w:rsidRPr="0083757F">
        <w:rPr>
          <w:i/>
        </w:rPr>
        <w:instrText>A10-0168/2025</w:instrText>
      </w:r>
      <w:bookmarkEnd w:id="2"/>
      <w:r w:rsidRPr="0083757F">
        <w:rPr>
          <w:i/>
        </w:rPr>
        <w:instrText xml:space="preserve"> - Pranešėjas: Olivier Chastel)"\l3 \n&gt; \* MERGEFORMAT </w:instrText>
      </w:r>
      <w:r w:rsidRPr="0083757F">
        <w:rPr>
          <w:i/>
        </w:rPr>
        <w:fldChar w:fldCharType="end"/>
      </w:r>
    </w:p>
    <w:p w14:paraId="2B8D554F" w14:textId="77777777" w:rsidR="00AD4E92" w:rsidRPr="0083757F" w:rsidRDefault="00AD4E92" w:rsidP="00AD4E92">
      <w:pPr>
        <w:rPr>
          <w:vanish/>
        </w:rPr>
      </w:pPr>
      <w:bookmarkStart w:id="3" w:name="Commission"/>
      <w:r w:rsidRPr="0083757F">
        <w:rPr>
          <w:vanish/>
        </w:rPr>
        <w:t>Biudžeto komitetas</w:t>
      </w:r>
      <w:bookmarkEnd w:id="3"/>
    </w:p>
    <w:p w14:paraId="680E9309" w14:textId="77777777" w:rsidR="00AD4E92" w:rsidRPr="0083757F" w:rsidRDefault="00AD4E92" w:rsidP="00AD4E92">
      <w:pPr>
        <w:rPr>
          <w:vanish/>
        </w:rPr>
      </w:pPr>
      <w:bookmarkStart w:id="4" w:name="PE"/>
      <w:r w:rsidRPr="0083757F">
        <w:rPr>
          <w:vanish/>
        </w:rPr>
        <w:t>PE776.828</w:t>
      </w:r>
      <w:bookmarkEnd w:id="4"/>
    </w:p>
    <w:p w14:paraId="122BAA39" w14:textId="23552127" w:rsidR="00AD4E92" w:rsidRPr="0083757F" w:rsidRDefault="00AD4E92" w:rsidP="00AD4E92">
      <w:pPr>
        <w:pStyle w:val="ATHeading3"/>
      </w:pPr>
      <w:bookmarkStart w:id="5" w:name="Sujet"/>
      <w:r w:rsidRPr="0083757F">
        <w:t xml:space="preserve">2025 m. spalio </w:t>
      </w:r>
      <w:r w:rsidR="00002B4E">
        <w:t>8</w:t>
      </w:r>
      <w:r w:rsidRPr="0083757F">
        <w:t xml:space="preserve"> d. Europos Parlamento </w:t>
      </w:r>
      <w:r w:rsidR="00CE1452">
        <w:t>rezoliucija</w:t>
      </w:r>
      <w:r w:rsidR="00CE1452" w:rsidRPr="0083757F">
        <w:t xml:space="preserve"> </w:t>
      </w:r>
      <w:r w:rsidRPr="0083757F">
        <w:t>dėl pasiūlymo dėl Europos Parlamento ir Tarybos sprendimo dėl Europos prisitaikymo prie globalizacijos padarinių fondo atleistiems darbuotojams lėšų mobilizavimo pagal Vokietijos paraišką „EGF/2025/002 DE/Goodyear 2“</w:t>
      </w:r>
      <w:bookmarkEnd w:id="5"/>
      <w:r w:rsidRPr="0083757F">
        <w:t xml:space="preserve"> </w:t>
      </w:r>
      <w:bookmarkStart w:id="6" w:name="References"/>
      <w:r w:rsidRPr="0083757F">
        <w:t>(COM(2025)0302 – C10-0182/2025 – 2025/0245(BUD))</w:t>
      </w:r>
      <w:bookmarkEnd w:id="6"/>
    </w:p>
    <w:p w14:paraId="36849C32" w14:textId="77777777" w:rsidR="00A42B46" w:rsidRPr="0083757F" w:rsidRDefault="00A42B46" w:rsidP="00A42B46">
      <w:pPr>
        <w:pStyle w:val="EPComma"/>
        <w:rPr>
          <w:noProof/>
        </w:rPr>
      </w:pPr>
      <w:r w:rsidRPr="0083757F">
        <w:rPr>
          <w:i/>
        </w:rPr>
        <w:t>Europos Parlamentas</w:t>
      </w:r>
      <w:r w:rsidRPr="0083757F">
        <w:t>,</w:t>
      </w:r>
    </w:p>
    <w:p w14:paraId="1868ECEE" w14:textId="77777777" w:rsidR="00A42B46" w:rsidRPr="0083757F" w:rsidRDefault="00A42B46" w:rsidP="00A42B46">
      <w:pPr>
        <w:pStyle w:val="NormalHanging12a"/>
        <w:rPr>
          <w:noProof/>
        </w:rPr>
      </w:pPr>
      <w:r w:rsidRPr="0083757F">
        <w:t>–</w:t>
      </w:r>
      <w:r w:rsidRPr="0083757F">
        <w:tab/>
        <w:t>atsižvelgdamas į Komisijos pasiūlymą Europos Parlamentui ir Tarybai (COM(2025)0302 – C10-0182/2025),</w:t>
      </w:r>
    </w:p>
    <w:p w14:paraId="0C5613DF" w14:textId="77777777" w:rsidR="00A42B46" w:rsidRPr="0083757F" w:rsidRDefault="00A42B46" w:rsidP="00A42B46">
      <w:pPr>
        <w:pStyle w:val="NormalHanging12a"/>
        <w:rPr>
          <w:noProof/>
        </w:rPr>
      </w:pPr>
      <w:r w:rsidRPr="0083757F">
        <w:t>–</w:t>
      </w:r>
      <w:r w:rsidRPr="0083757F">
        <w:tab/>
        <w:t>atsižvelgdamas į 2021 m. balandžio 28 d. Europos Parlamento ir Tarybos reglamentą (ES) 2021/691 dėl Europos prisitaikymo prie globalizacijos padarinių fondo atleistiems darbuotojams (EGF), kuriuo panaikinamas Reglamentas (ES) Nr. 1309/2013</w:t>
      </w:r>
      <w:r w:rsidRPr="0083757F">
        <w:rPr>
          <w:rStyle w:val="FootnoteReference"/>
          <w:noProof/>
        </w:rPr>
        <w:footnoteReference w:id="1"/>
      </w:r>
      <w:r w:rsidRPr="0083757F">
        <w:t xml:space="preserve"> (toliau – EGF reglamentas),</w:t>
      </w:r>
    </w:p>
    <w:p w14:paraId="5D450855" w14:textId="77777777" w:rsidR="00A42B46" w:rsidRPr="0083757F" w:rsidRDefault="00A42B46" w:rsidP="00A42B46">
      <w:pPr>
        <w:pStyle w:val="NormalHanging12a"/>
        <w:rPr>
          <w:noProof/>
        </w:rPr>
      </w:pPr>
      <w:r w:rsidRPr="0083757F">
        <w:t>–</w:t>
      </w:r>
      <w:r w:rsidRPr="0083757F">
        <w:tab/>
        <w:t>atsižvelgdamas į 2020 m. gruodžio 17 d. Tarybos reglamentą (ES, Euratomas) 2020/2093, kuriuo nustatoma 2021–2027 m. daugiametė finansinė programa</w:t>
      </w:r>
      <w:r w:rsidRPr="0083757F">
        <w:rPr>
          <w:rStyle w:val="FootnoteReference"/>
          <w:noProof/>
        </w:rPr>
        <w:footnoteReference w:id="2"/>
      </w:r>
      <w:r w:rsidRPr="0083757F">
        <w:t>, su pakeitimais, padarytais Reglamentu (ES, Euratomas) 2024/765</w:t>
      </w:r>
      <w:r w:rsidRPr="0083757F">
        <w:rPr>
          <w:rStyle w:val="FootnoteReference"/>
          <w:bdr w:val="none" w:sz="0" w:space="0" w:color="auto" w:frame="1"/>
        </w:rPr>
        <w:footnoteReference w:id="3"/>
      </w:r>
      <w:r w:rsidRPr="0083757F">
        <w:t>, ypač į jo 8 straipsnį,</w:t>
      </w:r>
    </w:p>
    <w:p w14:paraId="3C5D992B" w14:textId="77777777" w:rsidR="00A42B46" w:rsidRPr="0083757F" w:rsidRDefault="00A42B46" w:rsidP="00A42B46">
      <w:pPr>
        <w:pStyle w:val="NormalHanging12a"/>
        <w:rPr>
          <w:noProof/>
        </w:rPr>
      </w:pPr>
      <w:r w:rsidRPr="0083757F">
        <w:t>–</w:t>
      </w:r>
      <w:r w:rsidRPr="0083757F">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83757F">
        <w:rPr>
          <w:rStyle w:val="FootnoteReference"/>
          <w:noProof/>
        </w:rPr>
        <w:footnoteReference w:id="4"/>
      </w:r>
      <w:r w:rsidRPr="0083757F">
        <w:t>, ypač į jo 9 punktą,</w:t>
      </w:r>
    </w:p>
    <w:p w14:paraId="6DC9DCDC" w14:textId="77777777" w:rsidR="00A42B46" w:rsidRPr="0083757F" w:rsidRDefault="00A42B46" w:rsidP="00A42B46">
      <w:pPr>
        <w:pStyle w:val="NormalHanging12a"/>
        <w:rPr>
          <w:noProof/>
        </w:rPr>
      </w:pPr>
      <w:r w:rsidRPr="0083757F">
        <w:lastRenderedPageBreak/>
        <w:t>–</w:t>
      </w:r>
      <w:r w:rsidRPr="0083757F">
        <w:tab/>
        <w:t>atsižvelgdamas į Užimtumo ir socialinių reikalų komiteto laišką,</w:t>
      </w:r>
    </w:p>
    <w:p w14:paraId="742AE6BE" w14:textId="77777777" w:rsidR="00A42B46" w:rsidRPr="0083757F" w:rsidRDefault="00A42B46" w:rsidP="00A42B46">
      <w:pPr>
        <w:pStyle w:val="NormalHanging12a"/>
      </w:pPr>
      <w:r w:rsidRPr="0083757F">
        <w:t>–</w:t>
      </w:r>
      <w:r w:rsidRPr="0083757F">
        <w:tab/>
        <w:t xml:space="preserve">atsižvelgdamas į Biudžeto komiteto pranešimą (A10-0168/2025), </w:t>
      </w:r>
    </w:p>
    <w:p w14:paraId="2CE30CEC" w14:textId="77777777" w:rsidR="00A42B46" w:rsidRPr="0083757F" w:rsidRDefault="00A42B46" w:rsidP="00A42B46">
      <w:pPr>
        <w:pStyle w:val="NormalHanging12a"/>
        <w:rPr>
          <w:noProof/>
        </w:rPr>
      </w:pPr>
      <w:r w:rsidRPr="0083757F">
        <w:t>A.</w:t>
      </w:r>
      <w:r w:rsidRPr="0083757F">
        <w:tab/>
        <w:t>kadangi Sąjunga, siekdama teikti papildomą paramą darbuotojams, patiriantiems žalą dėl esminių struktūrinių pasaulio prekybos sistemos pokyčių ar pasaulinės finansų ir ekonomikos krizės, ir padėti jiems vėl integruotis į darbo rinką, nustatė teisėkūros ir biudžeto priemones; kadangi šią pagalbą sudaro finansinė parama, teikiama darbuotojams ir įmonėms, kuriose jie dirbo;</w:t>
      </w:r>
    </w:p>
    <w:p w14:paraId="1D7383FE" w14:textId="46A24CE0" w:rsidR="00A42B46" w:rsidRPr="0083757F" w:rsidRDefault="00A42B46" w:rsidP="00A42B46">
      <w:pPr>
        <w:pStyle w:val="NormalHanging12a"/>
      </w:pPr>
      <w:r w:rsidRPr="0083757F">
        <w:t>B.</w:t>
      </w:r>
      <w:r w:rsidRPr="0083757F">
        <w:tab/>
        <w:t>kadangi Vokietija pateikė paraišką „EGF/2025/002 DE/Goodyear 2“ dėl finansinės paramos iš Europos prisitaikymo prie globalizacijos padarinių fondo (EGF), nes Kaselio (DE73) ir Darmštato (DE71) regionuose ekonomikos sektoriuje, kuris priskiriamas NACE 2 red. 22 skyriui (Guminių ir plastikinių gaminių gamyba), iš viso buvo atleistas 1 171 darbuotojas</w:t>
      </w:r>
      <w:r w:rsidRPr="0083757F">
        <w:rPr>
          <w:rStyle w:val="FootnoteReference"/>
        </w:rPr>
        <w:footnoteReference w:id="5"/>
      </w:r>
      <w:r w:rsidRPr="0083757F">
        <w:t xml:space="preserve">: 747 darbuotojai atleisti per paraiškos ataskaitinį laikotarpį nuo 2024 m. rugsėjo 1 d. iki 2025 m. sausio 1 d. ir 424 darbuotojai atleisti prieš ataskaitinį laikotarpį arba po jo; </w:t>
      </w:r>
    </w:p>
    <w:p w14:paraId="739B5AF9" w14:textId="5B6C00E9" w:rsidR="00A42B46" w:rsidRPr="0083757F" w:rsidRDefault="00A42B46" w:rsidP="00A42B46">
      <w:pPr>
        <w:pStyle w:val="NormalHanging12a"/>
      </w:pPr>
      <w:r w:rsidRPr="0083757F">
        <w:t>C.</w:t>
      </w:r>
      <w:r w:rsidRPr="0083757F">
        <w:tab/>
        <w:t xml:space="preserve">kadangi 424 atleistų darbuotojų, kurių veikla nutrūko prieš </w:t>
      </w:r>
      <w:r w:rsidR="00002B4E">
        <w:t>4</w:t>
      </w:r>
      <w:r w:rsidR="00002B4E" w:rsidRPr="0083757F">
        <w:t xml:space="preserve"> </w:t>
      </w:r>
      <w:r w:rsidRPr="0083757F">
        <w:t>mėnesių ataskaitinį laikotarpį arba po jo, atveju galima nustatyti aiškų priežastinį ryšį su įvykiu, dėl kurio ataskaitiniu laikotarpiu nutrūko atleistų darbuotojų veikla, kaip reikalaujama pagal EGF reglamento 6 straipsnio 2 dalį;</w:t>
      </w:r>
      <w:r w:rsidRPr="0083757F">
        <w:rPr>
          <w:sz w:val="23"/>
        </w:rPr>
        <w:t xml:space="preserve"> </w:t>
      </w:r>
    </w:p>
    <w:p w14:paraId="29FDE909" w14:textId="171E320F" w:rsidR="00A42B46" w:rsidRPr="0083757F" w:rsidRDefault="00A42B46" w:rsidP="00A42B46">
      <w:pPr>
        <w:pStyle w:val="NormalHanging12a"/>
      </w:pPr>
      <w:r w:rsidRPr="0083757F">
        <w:t>D.</w:t>
      </w:r>
      <w:r w:rsidRPr="0083757F">
        <w:tab/>
        <w:t xml:space="preserve">kadangi paraiška yra paremta EGF reglamento 4 straipsnio 2 dalies a punkte nustatytais intervencijos kriterijais, pagal kuriuos per </w:t>
      </w:r>
      <w:r w:rsidR="00002B4E">
        <w:t>4</w:t>
      </w:r>
      <w:r w:rsidR="00002B4E" w:rsidRPr="0083757F">
        <w:t xml:space="preserve"> </w:t>
      </w:r>
      <w:r w:rsidRPr="0083757F">
        <w:t>mėnesių ataskaitinį laikotarpį turi būti sustabdyta ne mažiau kaip 200 valstybės narės įmonės atleistų darbuotojų ar savarankiškai dirbančių asmenų veikla, įskaitant tiekėjų ir tolesnės gamybos grandies įmonių atleistus darbuotojus;</w:t>
      </w:r>
    </w:p>
    <w:p w14:paraId="0CE1CB60" w14:textId="7C7314E7" w:rsidR="00A42B46" w:rsidRPr="0083757F" w:rsidRDefault="00A42B46" w:rsidP="00A42B46">
      <w:pPr>
        <w:pStyle w:val="NormalHanging12a"/>
        <w:rPr>
          <w:noProof/>
          <w:color w:val="7030A0"/>
        </w:rPr>
      </w:pPr>
      <w:r w:rsidRPr="0083757F">
        <w:t>E.</w:t>
      </w:r>
      <w:r w:rsidRPr="0083757F">
        <w:tab/>
        <w:t xml:space="preserve">kadangi Rusijos agresijos karas prieš Ukrainą ir didėjanti infliacija turėjo įtakos energijos, medžiagų ir darbo sąnaudoms ir padidino </w:t>
      </w:r>
      <w:r w:rsidRPr="00C6552E">
        <w:t xml:space="preserve">spaudimą įmonės </w:t>
      </w:r>
      <w:r w:rsidR="00AB0007" w:rsidRPr="00C6552E">
        <w:t>„Goodyear“</w:t>
      </w:r>
      <w:r w:rsidR="00AB0007">
        <w:t xml:space="preserve"> </w:t>
      </w:r>
      <w:r w:rsidRPr="0083757F">
        <w:t xml:space="preserve">maržoms; </w:t>
      </w:r>
    </w:p>
    <w:p w14:paraId="4D43D1D4" w14:textId="65F5EF9B" w:rsidR="00A42B46" w:rsidRPr="0083757F" w:rsidRDefault="00A42B46" w:rsidP="00A42B46">
      <w:pPr>
        <w:pStyle w:val="NormalHanging12a"/>
        <w:rPr>
          <w:noProof/>
        </w:rPr>
      </w:pPr>
      <w:r w:rsidRPr="0083757F">
        <w:t>F.</w:t>
      </w:r>
      <w:r w:rsidRPr="0083757F">
        <w:tab/>
        <w:t xml:space="preserve">kadangi </w:t>
      </w:r>
      <w:r w:rsidRPr="00C6552E">
        <w:t>įmonė „Goodyear Germany GmbH“ specializuojasi</w:t>
      </w:r>
      <w:r w:rsidRPr="0083757F">
        <w:t xml:space="preserve"> guminių ir plastikinių gaminių, ypač padangų, gamybos srityje; kadangi įmonę labai paveikė padidėjusi konkurencija dėl pigaus importo iš Azijos; </w:t>
      </w:r>
    </w:p>
    <w:p w14:paraId="3DD59572" w14:textId="26F5F9BB" w:rsidR="00A42B46" w:rsidRPr="0083757F" w:rsidRDefault="00A42B46" w:rsidP="00A42B46">
      <w:pPr>
        <w:pStyle w:val="NormalHanging12a"/>
        <w:rPr>
          <w:noProof/>
        </w:rPr>
      </w:pPr>
      <w:r w:rsidRPr="0083757F">
        <w:t>G.</w:t>
      </w:r>
      <w:r w:rsidRPr="0083757F">
        <w:tab/>
        <w:t xml:space="preserve">kadangi </w:t>
      </w:r>
      <w:r w:rsidRPr="00C6552E">
        <w:t>tai yra antras EGF lėšų mobilizavimas, kurio paprašė Vokietijos valdžios institucijos po įmonės „Goodyear“ restruktūrizavimo</w:t>
      </w:r>
      <w:r w:rsidRPr="0083757F">
        <w:t xml:space="preserve">, nes EGF lėšos jau buvo mobilizuotos 2017 metais uždarius </w:t>
      </w:r>
      <w:r w:rsidR="00CE1452">
        <w:t xml:space="preserve">vieną </w:t>
      </w:r>
      <w:r w:rsidR="00F86CA2">
        <w:t>iš</w:t>
      </w:r>
      <w:r w:rsidR="00CE1452">
        <w:t xml:space="preserve"> </w:t>
      </w:r>
      <w:r w:rsidR="00F86CA2">
        <w:t>įmonės</w:t>
      </w:r>
      <w:r w:rsidR="00CE1452">
        <w:t xml:space="preserve"> </w:t>
      </w:r>
      <w:r w:rsidR="00F86CA2" w:rsidRPr="0083757F">
        <w:t>gamykl</w:t>
      </w:r>
      <w:r w:rsidR="00F86CA2">
        <w:t>ų</w:t>
      </w:r>
      <w:r w:rsidR="00CE1452" w:rsidRPr="0083757F">
        <w:t xml:space="preserve"> </w:t>
      </w:r>
      <w:r w:rsidRPr="0083757F">
        <w:t>Filipsburge;</w:t>
      </w:r>
    </w:p>
    <w:p w14:paraId="45D311AD" w14:textId="77777777" w:rsidR="00A42B46" w:rsidRPr="0083757F" w:rsidRDefault="00A42B46" w:rsidP="00A42B46">
      <w:pPr>
        <w:pStyle w:val="NormalHanging12a"/>
        <w:rPr>
          <w:noProof/>
        </w:rPr>
      </w:pPr>
      <w:r w:rsidRPr="0083757F">
        <w:t>H.</w:t>
      </w:r>
      <w:r w:rsidRPr="0083757F">
        <w:rPr>
          <w:color w:val="7030A0"/>
        </w:rPr>
        <w:tab/>
      </w:r>
      <w:r w:rsidRPr="0083757F">
        <w:t>kadangi dėl spartaus paklausos sumažėjimo ir didėjančių gamybos sąnaudų įmonė buvo priversta pradėti restruktūrizavimo procesą ir jo metu 2024 m. Vokietijoje buvo uždaryta viena iš jos gamyklų, o kita – iš dalies uždaryta;</w:t>
      </w:r>
    </w:p>
    <w:p w14:paraId="4D59FCD4" w14:textId="77777777" w:rsidR="00A42B46" w:rsidRPr="0083757F" w:rsidRDefault="00A42B46" w:rsidP="00A42B46">
      <w:pPr>
        <w:pStyle w:val="NormalHanging12a"/>
        <w:jc w:val="both"/>
      </w:pPr>
      <w:r w:rsidRPr="0083757F">
        <w:t>I.</w:t>
      </w:r>
      <w:r w:rsidRPr="0083757F">
        <w:tab/>
        <w:t xml:space="preserve">kadangi Vokietijos federalinis biudžetas ir Federalinė valstybinė užimtumo tarnyba (vok. </w:t>
      </w:r>
      <w:r w:rsidRPr="0083757F">
        <w:rPr>
          <w:i/>
        </w:rPr>
        <w:t>Bundesagentur für Arbeit</w:t>
      </w:r>
      <w:r w:rsidRPr="0083757F">
        <w:t>) teikia nacionalinį išankstinį ir bendrą priemonių finansavimą;</w:t>
      </w:r>
    </w:p>
    <w:p w14:paraId="104528D6" w14:textId="77777777" w:rsidR="00A42B46" w:rsidRPr="0083757F" w:rsidRDefault="00A42B46" w:rsidP="00A42B46">
      <w:pPr>
        <w:pStyle w:val="NormalHanging12a"/>
        <w:jc w:val="both"/>
      </w:pPr>
      <w:r w:rsidRPr="0083757F">
        <w:t>J.</w:t>
      </w:r>
      <w:r w:rsidRPr="0083757F">
        <w:tab/>
        <w:t>kadangi buvo laikomasi Sąjungos ir nacionalinės teisės aktuose nustatytų su kolektyviniu atleidimu iš darbo susijusių reikalavimų;</w:t>
      </w:r>
    </w:p>
    <w:p w14:paraId="483C48B9" w14:textId="77777777" w:rsidR="00A42B46" w:rsidRPr="0083757F" w:rsidRDefault="00A42B46" w:rsidP="00A42B46">
      <w:pPr>
        <w:pStyle w:val="NormalHanging12a"/>
      </w:pPr>
      <w:r w:rsidRPr="0083757F">
        <w:lastRenderedPageBreak/>
        <w:t>K.</w:t>
      </w:r>
      <w:r w:rsidRPr="0083757F">
        <w:tab/>
        <w:t>kadangi EGF finansinis įnašas pirmiausia turėtų būti skiriamas aktyvios darbo rinkos politikos priemonėms ir prie individualių poreikių pritaikytoms paslaugoms, kuriomis siekiama greitai reintegruoti paramos gavėjus į darbo rinką padedant jiems gauti deramas ir tvarias darbo vietas pradiniame jų veiklos ar kitame sektoriuje, kartu rengiant juos žalesnei ir labiau skaitmeninei Europos ekonomikai;</w:t>
      </w:r>
    </w:p>
    <w:p w14:paraId="4BBEB6C6" w14:textId="457A4E67" w:rsidR="00A42B46" w:rsidRPr="0083757F" w:rsidRDefault="00A42B46" w:rsidP="00A42B46">
      <w:pPr>
        <w:widowControl/>
        <w:spacing w:after="240"/>
        <w:ind w:left="567" w:hanging="567"/>
        <w:rPr>
          <w:szCs w:val="24"/>
        </w:rPr>
      </w:pPr>
      <w:r w:rsidRPr="0083757F">
        <w:t>L.</w:t>
      </w:r>
      <w:r w:rsidRPr="0083757F">
        <w:rPr>
          <w:color w:val="7030A0"/>
        </w:rPr>
        <w:tab/>
      </w:r>
      <w:r w:rsidRPr="0083757F">
        <w:t xml:space="preserve">kadangi EGF didžiausia metinė suma neviršija 30 mln. EUR (2018 m. kainomis), kaip nustatyta Reglamento (ES, Euratomas) 2020/2093 su pakeitimais, padarytais </w:t>
      </w:r>
      <w:r w:rsidR="00F86CA2">
        <w:t>Tarybos r</w:t>
      </w:r>
      <w:r w:rsidRPr="0083757F">
        <w:t xml:space="preserve">eglamentu (ES, Euratomas) 2024/765, 8 straipsnyje; </w:t>
      </w:r>
    </w:p>
    <w:p w14:paraId="6E76B466" w14:textId="77777777" w:rsidR="00A42B46" w:rsidRPr="0083757F" w:rsidRDefault="00A42B46" w:rsidP="00A42B46">
      <w:pPr>
        <w:pStyle w:val="NormalHanging12a"/>
      </w:pPr>
      <w:r w:rsidRPr="0083757F">
        <w:t>1.</w:t>
      </w:r>
      <w:r w:rsidRPr="0083757F">
        <w:tab/>
        <w:t>pritaria Komisijai, kad tenkinamos EGF reglamento 4 straipsnio 2 dalies a punkte nustatytos sąlygos ir kad Vokietija turi teisę pagal šį reglamentą gauti finansinę 3 085 166 EUR paramą, kuri sudaro 60 proc. visų išlaidų, siekiančių 5 141 944 EUR ir apimančių prie individualių poreikių pritaikytų paslaugų išlaidas (4 936 274 EUR) ir parengiamosios, valdymo, informavimo ir viešinimo, kontrolės ir ataskaitų teikimo veiklos išlaidas (205 670 EUR);</w:t>
      </w:r>
    </w:p>
    <w:p w14:paraId="5AF3B187" w14:textId="001EAC99" w:rsidR="00A42B46" w:rsidRPr="0083757F" w:rsidRDefault="00A42B46" w:rsidP="00A42B46">
      <w:pPr>
        <w:pStyle w:val="NormalHanging12a"/>
      </w:pPr>
      <w:r w:rsidRPr="0083757F">
        <w:t>2.</w:t>
      </w:r>
      <w:r w:rsidRPr="0083757F">
        <w:tab/>
        <w:t xml:space="preserve">pažymi, kad Vokietijos valdžios institucijos paraišką pateikė 2025 m. kovo 10 d. ir kad, Vokietijai pateikus papildomą informaciją, 2025 m. liepos 29 d., t. y. po daugiau kaip keturių mėnesių, Komisija baigė savo vertinimą ir 2025 m. rugpjūčio 26 d. informavo Parlamentą; </w:t>
      </w:r>
    </w:p>
    <w:p w14:paraId="51EE6747" w14:textId="77777777" w:rsidR="00A42B46" w:rsidRPr="0083757F" w:rsidRDefault="00A42B46" w:rsidP="00A42B46">
      <w:pPr>
        <w:pStyle w:val="NormalHanging12a"/>
      </w:pPr>
      <w:r w:rsidRPr="0083757F">
        <w:t>3.</w:t>
      </w:r>
      <w:r w:rsidRPr="0083757F">
        <w:tab/>
        <w:t>pažymi, kad paraiška susijusi su 1 171 atleistu darbuotoju, kuriuos paveikė gamyklos Fuldoje uždarymas ir tai, kad iš dalies nustota eksploatuoti gamybos įrenginius Hanau; taip pat pažymi, kad tiksliniai paramos gavėjai bus iš viso 915 atleistų darbuotojų ir numatoma, kad jie turėtų pasinaudoti priemonėmis;</w:t>
      </w:r>
    </w:p>
    <w:p w14:paraId="41FCE376" w14:textId="77777777" w:rsidR="00A42B46" w:rsidRPr="0083757F" w:rsidRDefault="00A42B46" w:rsidP="00A42B46">
      <w:pPr>
        <w:pStyle w:val="NormalHanging12a"/>
      </w:pPr>
      <w:r w:rsidRPr="0083757F">
        <w:t>4.</w:t>
      </w:r>
      <w:r w:rsidRPr="0083757F">
        <w:tab/>
        <w:t xml:space="preserve">atkreipia dėmesį į tai, kad dauguma atleistų darbuotojų turi žemą išsilavinimą (56 proc. turi pagrindinį ar žemesnį išsilavinimą) ir yra 54 metų ar vyresni (42 proc.); pabrėžia, kad vyresnio amžiaus darbuotojai visų pirma yra labai pažeidžiama grupė, susidurianti su didelėmis pakartotinio įsidarbinimo kliūtimis dėl ribotų kvalifikacijos kėlimo ir perkvalifikavimo galimybių; </w:t>
      </w:r>
    </w:p>
    <w:p w14:paraId="1DAF0973" w14:textId="33D021A1" w:rsidR="00A42B46" w:rsidRPr="0083757F" w:rsidRDefault="00A42B46" w:rsidP="00A42B46">
      <w:pPr>
        <w:pStyle w:val="NormalHanging12a"/>
      </w:pPr>
      <w:r w:rsidRPr="0083757F">
        <w:t>5.</w:t>
      </w:r>
      <w:r w:rsidRPr="0083757F">
        <w:tab/>
        <w:t xml:space="preserve">atkreipia dėmesį į tai, </w:t>
      </w:r>
      <w:r w:rsidRPr="00C6552E">
        <w:t>kad dėl įmonės „Goodyear“ atleistų</w:t>
      </w:r>
      <w:r w:rsidRPr="0083757F">
        <w:t xml:space="preserve"> darbuotojų metinis nedarbo lygis Fuldos regione padidėjo daugiau kaip 10 proc. ir neproporcingai didelis poveikis matomas darbuotojų vyrų ir vyresnių nei 50 metų asmenų, kurių daugelio kvalifikacija ir įgūdžiai yra pasenę ir neatitinka dabartinių darbo rinkos poreikių, atveju; pabrėžia, kad reikia imtis skubių veiksmų siekiant užkirsti kelią struktūriniam regionų nuosmukiui ir svarbu skatinti kokybiškas, į ateitį orientuotas darbo vietas, kad būtų užtikrintas ilgalaikis ekonominis ir socialinis atsparumas;</w:t>
      </w:r>
    </w:p>
    <w:p w14:paraId="5F0A439D" w14:textId="77777777" w:rsidR="00A42B46" w:rsidRPr="0083757F" w:rsidRDefault="00A42B46" w:rsidP="00A42B46">
      <w:pPr>
        <w:pStyle w:val="NormalHanging12a"/>
      </w:pPr>
      <w:r w:rsidRPr="0083757F">
        <w:t>6.</w:t>
      </w:r>
      <w:r w:rsidRPr="0083757F">
        <w:tab/>
        <w:t>primena, kad prie individualių poreikių pritaikytas paslaugas, kurios turi būti teikiamos darbuotojams, sudaro šios priemonės: esminio kvalifikacijos kėlimo ar perkvalifikavimo priemonės, konsultavimas ir profesinis orientavimas ir aktyvavimo priemonės, verslo steigimo konsultacinės paslaugos ir dotacijos, pagalba ieškant darbo, kvalifikacijos kėlimo ir su darbo užmokesčio priedu susijusios paskatos, mokymo išmokos, skaitmeninių įgūdžių mokymai; atsižvelgdamas į tai pabrėžia, kad gerai parengta darbo jėga yra itin svarbi perspektyviai Europos ekonomikai;</w:t>
      </w:r>
    </w:p>
    <w:p w14:paraId="27D0B8C6" w14:textId="77777777" w:rsidR="00A42B46" w:rsidRPr="0083757F" w:rsidRDefault="00A42B46" w:rsidP="00A42B46">
      <w:pPr>
        <w:pStyle w:val="NormalHanging12a"/>
      </w:pPr>
      <w:r w:rsidRPr="0083757F">
        <w:t>7.</w:t>
      </w:r>
      <w:r w:rsidRPr="0083757F">
        <w:tab/>
        <w:t xml:space="preserve">mano, kad Sąjungos ir valstybių narių socialinė atsakomybė yra suteikti šiems atleistiems darbuotojams reikiamą kvalifikaciją, tinkamą perspektyviai Europos ekonomikai, kurioje būtų įgyvendinta skaitmeninė ir žalioji pertvarka; todėl mano, kad </w:t>
      </w:r>
      <w:r w:rsidRPr="0083757F">
        <w:lastRenderedPageBreak/>
        <w:t>EGF lėšų mobilizavimas turi būti įtrauktas į platesnio masto politinį atsaką;</w:t>
      </w:r>
    </w:p>
    <w:p w14:paraId="6BE2426F" w14:textId="52A6F23C" w:rsidR="00A42B46" w:rsidRPr="0083757F" w:rsidRDefault="00A42B46" w:rsidP="00A42B46">
      <w:pPr>
        <w:pStyle w:val="NormalHanging12a"/>
      </w:pPr>
      <w:r w:rsidRPr="0083757F">
        <w:t>8.</w:t>
      </w:r>
      <w:r w:rsidRPr="0083757F">
        <w:tab/>
        <w:t>ragina atlikti išsamius galutinius įgyvendintų priemonių vertinimus, įtraukiant duomenis apie sėkmingai į darbo rinką reintegruotų darbuotojų, taip pat darbuotojų, baigusių mokymo ir kvalifikacijos kėlimo kursus, skaičių;</w:t>
      </w:r>
    </w:p>
    <w:p w14:paraId="621B9568" w14:textId="77777777" w:rsidR="00A42B46" w:rsidRPr="0083757F" w:rsidRDefault="00A42B46" w:rsidP="00A42B46">
      <w:pPr>
        <w:pStyle w:val="NormalHanging12a"/>
      </w:pPr>
      <w:r w:rsidRPr="0083757F">
        <w:t>9.</w:t>
      </w:r>
      <w:r w:rsidRPr="0083757F">
        <w:tab/>
        <w:t xml:space="preserve">pažymi, kad 2025 m. vasario 20 d. iš viso buvo sudaryta 915 trišalių sutarčių tarp </w:t>
      </w:r>
      <w:r w:rsidRPr="00C6552E">
        <w:t>įmonės „Goodyear“, darbuotojų</w:t>
      </w:r>
      <w:r w:rsidRPr="0083757F">
        <w:t xml:space="preserve"> ir paslaugų teikėjo „PMB International GmbH“, kuris buvo pasirinktas perkėlimo bendrovei valdyti; Fuldoje sudaryta 781 sutartis, o Hanau – 134; palankiai vertina tai, jog nurodyta, kad šis skaičius didės, nes bus pasirašyta daugiau susitarimų;</w:t>
      </w:r>
    </w:p>
    <w:p w14:paraId="573FA500" w14:textId="69A7BA5E" w:rsidR="00A42B46" w:rsidRPr="0083757F" w:rsidRDefault="00A42B46" w:rsidP="00A42B46">
      <w:pPr>
        <w:pStyle w:val="NormalHanging12a"/>
      </w:pPr>
      <w:r w:rsidRPr="0083757F">
        <w:t>10.</w:t>
      </w:r>
      <w:r w:rsidRPr="0083757F">
        <w:tab/>
        <w:t xml:space="preserve">pažymi, kad Vokietija tiksliniams paramos gavėjams prie individualių poreikių pritaikytas paslaugas pradėjo teikti 2024 m. lapkričio 1 d. ir todėl joms skirtos išlaidos bus laikomos tinkamomis finansuoti iš EGF finansinės paramos nuo tos dienos iki tada, kai sueis 24 mėnesiai nuo </w:t>
      </w:r>
      <w:r w:rsidR="00F86CA2" w:rsidRPr="00F86CA2">
        <w:t xml:space="preserve">prie šios rezoliucijos pridėto </w:t>
      </w:r>
      <w:r w:rsidRPr="0083757F">
        <w:t>sprendimo įsigaliojimo dienos;</w:t>
      </w:r>
    </w:p>
    <w:p w14:paraId="3FA9D242" w14:textId="62A5886E" w:rsidR="00A42B46" w:rsidRPr="0083757F" w:rsidRDefault="00A42B46" w:rsidP="00A42B46">
      <w:pPr>
        <w:pStyle w:val="NormalHanging12a"/>
        <w:rPr>
          <w:sz w:val="23"/>
          <w:szCs w:val="23"/>
        </w:rPr>
      </w:pPr>
      <w:r w:rsidRPr="0083757F">
        <w:t>11.</w:t>
      </w:r>
      <w:r w:rsidRPr="0083757F">
        <w:tab/>
        <w:t xml:space="preserve">pažymi, kad pirmąsias administracines išlaidas, susijusias su EGF paramos naudojimu, Vokietija patyrė 2024 m. lapkričio 1 d. ir todėl šios išlaidos bus laikomos tinkamomis finansuoti iš EGF finansinės paramos nuo tos dienos iki tada, kai sueis 31 mėnuo nuo </w:t>
      </w:r>
      <w:r w:rsidR="00F86CA2" w:rsidRPr="00F86CA2">
        <w:t xml:space="preserve">prie šios rezoliucijos pridėto </w:t>
      </w:r>
      <w:r w:rsidRPr="0083757F">
        <w:t>sprendimo įsigaliojimo dienos;</w:t>
      </w:r>
    </w:p>
    <w:p w14:paraId="70F3FEF9" w14:textId="77777777" w:rsidR="00A42B46" w:rsidRPr="0083757F" w:rsidRDefault="00A42B46" w:rsidP="00A42B46">
      <w:pPr>
        <w:pStyle w:val="NormalHanging12a"/>
      </w:pPr>
      <w:r w:rsidRPr="0083757F">
        <w:t>12.</w:t>
      </w:r>
      <w:r w:rsidRPr="0083757F">
        <w:tab/>
        <w:t>pabrėžia, kad Vokietijos valdžios institucijos patvirtino, jog suteikiant galimybę naudotis siūlomais veiksmais ir juos įgyvendinant bus laikomasi vienodo požiūrio ir nediskriminavimo principų ir kad bus išvengta bet kokio dvigubo finansavimo;</w:t>
      </w:r>
    </w:p>
    <w:p w14:paraId="5B897DDB" w14:textId="77777777" w:rsidR="00A42B46" w:rsidRPr="0083757F" w:rsidRDefault="00A42B46" w:rsidP="00A42B46">
      <w:pPr>
        <w:pStyle w:val="NormalHanging12a"/>
      </w:pPr>
      <w:r w:rsidRPr="0083757F">
        <w:t>13.</w:t>
      </w:r>
      <w:r w:rsidRPr="0083757F">
        <w:tab/>
        <w:t>primena, kad Vokietijos valdžios institucijos pripažįsta Sąjungos finansavimo kilmę bei užtikrina jo matomumą ir kartu atkreipia dėmesį į Sąjungos pridėtinę vertę; pabrėžia, kad tai turėtų būti pasiekta tikslinėmis informavimo priemonėmis, skirtomis paramos gavėjams, socialiniams partneriams ir žiniasklaidai;</w:t>
      </w:r>
    </w:p>
    <w:p w14:paraId="44AE2DE0" w14:textId="77777777" w:rsidR="00A42B46" w:rsidRPr="0083757F" w:rsidRDefault="00A42B46" w:rsidP="00A42B46">
      <w:pPr>
        <w:pStyle w:val="NormalHanging12a"/>
      </w:pPr>
      <w:r w:rsidRPr="0083757F">
        <w:t>14.</w:t>
      </w:r>
      <w:r w:rsidRPr="0083757F">
        <w:tab/>
        <w:t>pakartoja, kad EGF pagalba neturi pakeisti veiksmų, už kuriuos bendrovės atsakingos pagal nacionalinę teisę ar kolektyvines sutartis;</w:t>
      </w:r>
    </w:p>
    <w:p w14:paraId="6922B2C1" w14:textId="77777777" w:rsidR="00A42B46" w:rsidRPr="0083757F" w:rsidRDefault="00A42B46" w:rsidP="00A42B46">
      <w:pPr>
        <w:pStyle w:val="NormalHanging12a"/>
      </w:pPr>
      <w:r w:rsidRPr="0083757F">
        <w:t>15.</w:t>
      </w:r>
      <w:r w:rsidRPr="0083757F">
        <w:tab/>
        <w:t>pabrėžia, kad konkurencingumo srityje Sąjungai reikia skubiai dėti nuoseklias ir koordinuotas pastangas, kurios būtų plėtojamos glaudžiai bendradarbiaujant su valstybėmis narėmis, siekiant apsaugoti Europos pramoninę užimtumo bazę ir socialinę apsaugą; pabrėžia, kad tik tvirta ir atspari Europos ekonomika gali veiksmingai užkirsti kelią didelio masto atleidimo iš darbo bangoms ir taip visų pirma sumažinti EGF intervencijos poreikį;</w:t>
      </w:r>
    </w:p>
    <w:p w14:paraId="733081C8" w14:textId="77777777" w:rsidR="00A42B46" w:rsidRPr="0083757F" w:rsidRDefault="00A42B46" w:rsidP="00A42B46">
      <w:pPr>
        <w:pStyle w:val="NormalHanging12a"/>
      </w:pPr>
      <w:r w:rsidRPr="0083757F">
        <w:t>16.</w:t>
      </w:r>
      <w:r w:rsidRPr="0083757F">
        <w:tab/>
        <w:t>pritaria prie šios rezoliucijos pridedamam sprendimui;</w:t>
      </w:r>
    </w:p>
    <w:p w14:paraId="26EFD689" w14:textId="77777777" w:rsidR="00A42B46" w:rsidRPr="0083757F" w:rsidRDefault="00A42B46" w:rsidP="00A42B46">
      <w:pPr>
        <w:pStyle w:val="NormalHanging12a"/>
      </w:pPr>
      <w:r w:rsidRPr="0083757F">
        <w:t>17.</w:t>
      </w:r>
      <w:r w:rsidRPr="0083757F">
        <w:tab/>
        <w:t xml:space="preserve">paveda Pirmininkei pasirašyti šį sprendimą su Tarybos pirmininku ir užtikrinti, kad jis būtų paskelbtas </w:t>
      </w:r>
      <w:r w:rsidRPr="0083757F">
        <w:rPr>
          <w:i/>
        </w:rPr>
        <w:t>Europos Sąjungos oficialiajame leidinyje</w:t>
      </w:r>
      <w:r w:rsidRPr="0083757F">
        <w:t>;</w:t>
      </w:r>
    </w:p>
    <w:p w14:paraId="34A49BA0" w14:textId="3F8900CB" w:rsidR="00A42B46" w:rsidRPr="0083757F" w:rsidRDefault="00A42B46" w:rsidP="001F25A7">
      <w:pPr>
        <w:widowControl/>
        <w:ind w:left="567" w:hanging="567"/>
      </w:pPr>
      <w:r w:rsidRPr="0083757F">
        <w:t>18.</w:t>
      </w:r>
      <w:r w:rsidRPr="0083757F">
        <w:tab/>
        <w:t>paveda Pirmininkei perduoti šią rezoliuciją ir jos priedą Tarybai ir Komisijai.</w:t>
      </w:r>
    </w:p>
    <w:p w14:paraId="29F31AB9" w14:textId="77777777" w:rsidR="00A42B46" w:rsidRPr="0083757F" w:rsidRDefault="00A42B46" w:rsidP="00A42B46">
      <w:pPr>
        <w:pStyle w:val="PageHeading"/>
        <w:rPr>
          <w:noProof/>
        </w:rPr>
        <w:sectPr w:rsidR="00A42B46" w:rsidRPr="0083757F" w:rsidSect="0083757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676C9AB" w14:textId="77777777" w:rsidR="00186FD8" w:rsidRPr="00186FD8" w:rsidRDefault="00A42B46" w:rsidP="00A42B46">
      <w:pPr>
        <w:pStyle w:val="PageHeading"/>
        <w:rPr>
          <w:rFonts w:ascii="Times New Roman" w:hAnsi="Times New Roman" w:cs="Times New Roman"/>
        </w:rPr>
      </w:pPr>
      <w:bookmarkStart w:id="7" w:name="_Toc210378360"/>
      <w:r w:rsidRPr="00186FD8">
        <w:rPr>
          <w:rFonts w:ascii="Times New Roman" w:hAnsi="Times New Roman" w:cs="Times New Roman"/>
        </w:rPr>
        <w:lastRenderedPageBreak/>
        <w:t>PRIEDAS</w:t>
      </w:r>
    </w:p>
    <w:p w14:paraId="6E54FDA0" w14:textId="1C1400FE" w:rsidR="00A42B46" w:rsidRPr="00186FD8" w:rsidRDefault="00A42B46" w:rsidP="00A42B46">
      <w:pPr>
        <w:pStyle w:val="PageHeading"/>
        <w:rPr>
          <w:rFonts w:ascii="Times New Roman" w:hAnsi="Times New Roman" w:cs="Times New Roman"/>
          <w:noProof/>
        </w:rPr>
      </w:pPr>
      <w:r w:rsidRPr="00186FD8">
        <w:rPr>
          <w:rFonts w:ascii="Times New Roman" w:hAnsi="Times New Roman" w:cs="Times New Roman"/>
        </w:rPr>
        <w:t>EUROPOS PARLAMENTO IR TARYBOS SPRENDIMAS</w:t>
      </w:r>
      <w:bookmarkEnd w:id="7"/>
    </w:p>
    <w:p w14:paraId="4D92DBD5" w14:textId="77777777" w:rsidR="00A42B46" w:rsidRPr="0083757F" w:rsidRDefault="00A42B46" w:rsidP="00D9665D">
      <w:pPr>
        <w:pStyle w:val="NormalBold24a"/>
        <w:jc w:val="center"/>
      </w:pPr>
      <w:r w:rsidRPr="0083757F">
        <w:t>dėl Europos prisitaikymo prie globalizacijos padarinių fondo atleistiems darbuotojams lėšų mobilizavimo pagal Vokietijos paraišką „EGF/2025/002 DE/Goodyear 2“</w:t>
      </w:r>
    </w:p>
    <w:p w14:paraId="5B9879BE" w14:textId="326B2868" w:rsidR="00E365E1" w:rsidRPr="0083757F" w:rsidRDefault="00186FD8" w:rsidP="00186FD8">
      <w:pPr>
        <w:pStyle w:val="Institutionquiagit"/>
        <w:spacing w:before="0" w:after="0"/>
        <w:jc w:val="left"/>
      </w:pPr>
      <w:r w:rsidRPr="00186FD8">
        <w:rPr>
          <w:i/>
          <w:snapToGrid w:val="0"/>
          <w:lang w:val="en-GB"/>
        </w:rPr>
        <w:t>(</w:t>
      </w:r>
      <w:proofErr w:type="spellStart"/>
      <w:r w:rsidRPr="00186FD8">
        <w:rPr>
          <w:i/>
          <w:snapToGrid w:val="0"/>
          <w:lang w:val="en-GB"/>
        </w:rPr>
        <w:t>Šio</w:t>
      </w:r>
      <w:proofErr w:type="spellEnd"/>
      <w:r w:rsidRPr="00186FD8">
        <w:rPr>
          <w:i/>
          <w:snapToGrid w:val="0"/>
          <w:lang w:val="en-GB"/>
        </w:rPr>
        <w:t xml:space="preserve"> </w:t>
      </w:r>
      <w:proofErr w:type="spellStart"/>
      <w:r w:rsidRPr="00186FD8">
        <w:rPr>
          <w:i/>
          <w:snapToGrid w:val="0"/>
          <w:lang w:val="en-GB"/>
        </w:rPr>
        <w:t>priedo</w:t>
      </w:r>
      <w:proofErr w:type="spellEnd"/>
      <w:r w:rsidRPr="00186FD8">
        <w:rPr>
          <w:i/>
          <w:snapToGrid w:val="0"/>
          <w:lang w:val="en-GB"/>
        </w:rPr>
        <w:t xml:space="preserve"> </w:t>
      </w:r>
      <w:proofErr w:type="spellStart"/>
      <w:r w:rsidRPr="00186FD8">
        <w:rPr>
          <w:i/>
          <w:snapToGrid w:val="0"/>
          <w:lang w:val="en-GB"/>
        </w:rPr>
        <w:t>tekstas</w:t>
      </w:r>
      <w:proofErr w:type="spellEnd"/>
      <w:r w:rsidRPr="00186FD8">
        <w:rPr>
          <w:i/>
          <w:snapToGrid w:val="0"/>
          <w:lang w:val="en-GB"/>
        </w:rPr>
        <w:t xml:space="preserve"> </w:t>
      </w:r>
      <w:proofErr w:type="spellStart"/>
      <w:r w:rsidRPr="00186FD8">
        <w:rPr>
          <w:i/>
          <w:snapToGrid w:val="0"/>
          <w:lang w:val="en-GB"/>
        </w:rPr>
        <w:t>čia</w:t>
      </w:r>
      <w:proofErr w:type="spellEnd"/>
      <w:r w:rsidRPr="00186FD8">
        <w:rPr>
          <w:i/>
          <w:snapToGrid w:val="0"/>
          <w:lang w:val="en-GB"/>
        </w:rPr>
        <w:t xml:space="preserve"> </w:t>
      </w:r>
      <w:proofErr w:type="spellStart"/>
      <w:r w:rsidRPr="00186FD8">
        <w:rPr>
          <w:i/>
          <w:snapToGrid w:val="0"/>
          <w:lang w:val="en-GB"/>
        </w:rPr>
        <w:t>nepateikiamas</w:t>
      </w:r>
      <w:proofErr w:type="spellEnd"/>
      <w:r w:rsidRPr="00186FD8">
        <w:rPr>
          <w:i/>
          <w:snapToGrid w:val="0"/>
          <w:lang w:val="en-GB"/>
        </w:rPr>
        <w:t xml:space="preserve">, </w:t>
      </w:r>
      <w:proofErr w:type="spellStart"/>
      <w:r w:rsidRPr="00186FD8">
        <w:rPr>
          <w:i/>
          <w:snapToGrid w:val="0"/>
          <w:lang w:val="en-GB"/>
        </w:rPr>
        <w:t>nes</w:t>
      </w:r>
      <w:proofErr w:type="spellEnd"/>
      <w:r w:rsidRPr="00186FD8">
        <w:rPr>
          <w:i/>
          <w:snapToGrid w:val="0"/>
          <w:lang w:val="en-GB"/>
        </w:rPr>
        <w:t xml:space="preserve"> </w:t>
      </w:r>
      <w:proofErr w:type="spellStart"/>
      <w:r w:rsidRPr="00186FD8">
        <w:rPr>
          <w:i/>
          <w:snapToGrid w:val="0"/>
          <w:lang w:val="en-GB"/>
        </w:rPr>
        <w:t>jis</w:t>
      </w:r>
      <w:proofErr w:type="spellEnd"/>
      <w:r w:rsidRPr="00186FD8">
        <w:rPr>
          <w:i/>
          <w:snapToGrid w:val="0"/>
          <w:lang w:val="en-GB"/>
        </w:rPr>
        <w:t xml:space="preserve"> </w:t>
      </w:r>
      <w:proofErr w:type="spellStart"/>
      <w:r w:rsidRPr="00186FD8">
        <w:rPr>
          <w:i/>
          <w:snapToGrid w:val="0"/>
          <w:lang w:val="en-GB"/>
        </w:rPr>
        <w:t>atitinka</w:t>
      </w:r>
      <w:proofErr w:type="spellEnd"/>
      <w:r w:rsidRPr="00186FD8">
        <w:rPr>
          <w:i/>
          <w:snapToGrid w:val="0"/>
          <w:lang w:val="en-GB"/>
        </w:rPr>
        <w:t xml:space="preserve"> </w:t>
      </w:r>
      <w:proofErr w:type="spellStart"/>
      <w:r w:rsidRPr="00186FD8">
        <w:rPr>
          <w:i/>
          <w:snapToGrid w:val="0"/>
          <w:lang w:val="en-GB"/>
        </w:rPr>
        <w:t>galutinį</w:t>
      </w:r>
      <w:proofErr w:type="spellEnd"/>
      <w:r w:rsidRPr="00186FD8">
        <w:rPr>
          <w:i/>
          <w:snapToGrid w:val="0"/>
          <w:lang w:val="en-GB"/>
        </w:rPr>
        <w:t xml:space="preserve"> </w:t>
      </w:r>
      <w:proofErr w:type="spellStart"/>
      <w:r w:rsidRPr="00186FD8">
        <w:rPr>
          <w:i/>
          <w:snapToGrid w:val="0"/>
          <w:lang w:val="en-GB"/>
        </w:rPr>
        <w:t>aktą</w:t>
      </w:r>
      <w:proofErr w:type="spellEnd"/>
      <w:r w:rsidRPr="00186FD8">
        <w:rPr>
          <w:i/>
          <w:snapToGrid w:val="0"/>
          <w:lang w:val="en-GB"/>
        </w:rPr>
        <w:t xml:space="preserve"> – </w:t>
      </w:r>
      <w:proofErr w:type="spellStart"/>
      <w:r w:rsidRPr="00186FD8">
        <w:rPr>
          <w:i/>
          <w:snapToGrid w:val="0"/>
          <w:lang w:val="en-GB"/>
        </w:rPr>
        <w:t>Sprendimą</w:t>
      </w:r>
      <w:proofErr w:type="spellEnd"/>
      <w:r w:rsidRPr="00186FD8">
        <w:rPr>
          <w:i/>
          <w:snapToGrid w:val="0"/>
          <w:lang w:val="en-GB"/>
        </w:rPr>
        <w:t xml:space="preserve"> (ES) 20</w:t>
      </w:r>
      <w:r>
        <w:rPr>
          <w:i/>
          <w:snapToGrid w:val="0"/>
          <w:lang w:val="en-GB"/>
        </w:rPr>
        <w:t>2</w:t>
      </w:r>
      <w:r w:rsidRPr="00186FD8">
        <w:rPr>
          <w:i/>
          <w:snapToGrid w:val="0"/>
          <w:lang w:val="en-GB"/>
        </w:rPr>
        <w:t>5/</w:t>
      </w:r>
      <w:r>
        <w:rPr>
          <w:i/>
          <w:snapToGrid w:val="0"/>
          <w:lang w:val="en-GB"/>
        </w:rPr>
        <w:t>2135</w:t>
      </w:r>
      <w:r w:rsidRPr="00186FD8">
        <w:rPr>
          <w:i/>
          <w:snapToGrid w:val="0"/>
          <w:lang w:val="en-GB"/>
        </w:rPr>
        <w:t>.)</w:t>
      </w:r>
    </w:p>
    <w:sectPr w:rsidR="00E365E1" w:rsidRPr="0083757F" w:rsidSect="0083757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11B8" w14:textId="77777777" w:rsidR="00AD4E92" w:rsidRPr="0083757F" w:rsidRDefault="00AD4E92">
      <w:r w:rsidRPr="0083757F">
        <w:separator/>
      </w:r>
    </w:p>
  </w:endnote>
  <w:endnote w:type="continuationSeparator" w:id="0">
    <w:p w14:paraId="10471593" w14:textId="77777777" w:rsidR="00AD4E92" w:rsidRPr="0083757F" w:rsidRDefault="00AD4E92">
      <w:r w:rsidRPr="008375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9227" w14:textId="77777777" w:rsidR="00A42B46" w:rsidRPr="0083757F" w:rsidRDefault="00A42B46" w:rsidP="00176A84">
    <w:pPr>
      <w:pStyle w:val="EPFooter"/>
    </w:pPr>
    <w:r w:rsidRPr="0083757F">
      <w:t>PE</w:t>
    </w:r>
    <w:r w:rsidRPr="0083757F">
      <w:rPr>
        <w:rStyle w:val="HideTWBExt"/>
      </w:rPr>
      <w:t>&lt;NoPE&gt;</w:t>
    </w:r>
    <w:r w:rsidRPr="0083757F">
      <w:t>776.828</w:t>
    </w:r>
    <w:r w:rsidRPr="0083757F">
      <w:rPr>
        <w:rStyle w:val="HideTWBExt"/>
      </w:rPr>
      <w:t>&lt;/NoPE&gt;&lt;Version&gt;</w:t>
    </w:r>
    <w:r w:rsidRPr="0083757F">
      <w:t>v02-00</w:t>
    </w:r>
    <w:r w:rsidRPr="0083757F">
      <w:rPr>
        <w:rStyle w:val="HideTWBExt"/>
      </w:rPr>
      <w:t>&lt;/Version&gt;</w:t>
    </w:r>
    <w:r w:rsidRPr="0083757F">
      <w:tab/>
    </w:r>
    <w:r w:rsidRPr="0083757F">
      <w:fldChar w:fldCharType="begin"/>
    </w:r>
    <w:r w:rsidRPr="0083757F">
      <w:instrText xml:space="preserve"> PAGE  \* MERGEFORMAT </w:instrText>
    </w:r>
    <w:r w:rsidRPr="0083757F">
      <w:fldChar w:fldCharType="separate"/>
    </w:r>
    <w:r w:rsidRPr="0083757F">
      <w:rPr>
        <w:noProof/>
      </w:rPr>
      <w:t>2</w:t>
    </w:r>
    <w:r w:rsidRPr="0083757F">
      <w:fldChar w:fldCharType="end"/>
    </w:r>
    <w:r w:rsidRPr="0083757F">
      <w:t>/</w:t>
    </w:r>
    <w:fldSimple w:instr=" NUMPAGES  \* MERGEFORMAT ">
      <w:r w:rsidRPr="0083757F">
        <w:rPr>
          <w:noProof/>
        </w:rPr>
        <w:t>18</w:t>
      </w:r>
    </w:fldSimple>
    <w:r w:rsidRPr="0083757F">
      <w:tab/>
    </w:r>
    <w:r w:rsidRPr="0083757F">
      <w:rPr>
        <w:rStyle w:val="HideTWBExt"/>
      </w:rPr>
      <w:t>&lt;PathFdR&gt;</w:t>
    </w:r>
    <w:r w:rsidRPr="0083757F">
      <w:t>RR\1328613LT.docx</w:t>
    </w:r>
    <w:r w:rsidRPr="0083757F">
      <w:rPr>
        <w:rStyle w:val="HideTWBExt"/>
      </w:rPr>
      <w:t>&lt;/PathFdR&gt;</w:t>
    </w:r>
  </w:p>
  <w:p w14:paraId="5966EE82" w14:textId="77777777" w:rsidR="00A42B46" w:rsidRPr="0083757F" w:rsidRDefault="00A42B46" w:rsidP="00176A84">
    <w:pPr>
      <w:pStyle w:val="EPFooter2"/>
    </w:pPr>
    <w:r w:rsidRPr="0083757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B632" w14:textId="77777777" w:rsidR="00A42B46" w:rsidRPr="0083757F" w:rsidRDefault="00A42B46" w:rsidP="00176A84">
    <w:pPr>
      <w:pStyle w:val="EPFooter"/>
    </w:pPr>
    <w:r w:rsidRPr="0083757F">
      <w:rPr>
        <w:rStyle w:val="HideTWBExt"/>
      </w:rPr>
      <w:t>&lt;PathFdR&gt;</w:t>
    </w:r>
    <w:r w:rsidRPr="0083757F">
      <w:t>RR\1328613LT.docx</w:t>
    </w:r>
    <w:r w:rsidRPr="0083757F">
      <w:rPr>
        <w:rStyle w:val="HideTWBExt"/>
      </w:rPr>
      <w:t>&lt;/PathFdR&gt;</w:t>
    </w:r>
    <w:r w:rsidRPr="0083757F">
      <w:tab/>
    </w:r>
    <w:r w:rsidRPr="0083757F">
      <w:tab/>
      <w:t>PE</w:t>
    </w:r>
    <w:r w:rsidRPr="0083757F">
      <w:rPr>
        <w:rStyle w:val="HideTWBExt"/>
      </w:rPr>
      <w:t>&lt;NoPE&gt;</w:t>
    </w:r>
    <w:r w:rsidRPr="0083757F">
      <w:t>776.828</w:t>
    </w:r>
    <w:r w:rsidRPr="0083757F">
      <w:rPr>
        <w:rStyle w:val="HideTWBExt"/>
      </w:rPr>
      <w:t>&lt;/NoPE&gt;&lt;Version&gt;</w:t>
    </w:r>
    <w:r w:rsidRPr="0083757F">
      <w:t>v02-00</w:t>
    </w:r>
    <w:r w:rsidRPr="0083757F">
      <w:rPr>
        <w:rStyle w:val="HideTWBExt"/>
      </w:rPr>
      <w:t>&lt;/Version&gt;</w:t>
    </w:r>
  </w:p>
  <w:p w14:paraId="1F1075DB" w14:textId="77777777" w:rsidR="00A42B46" w:rsidRPr="0083757F" w:rsidRDefault="00A42B46" w:rsidP="00176A84">
    <w:pPr>
      <w:pStyle w:val="EPFooter2"/>
    </w:pPr>
    <w:r w:rsidRPr="0083757F">
      <w:t>LT</w:t>
    </w:r>
    <w:r w:rsidRPr="0083757F">
      <w:tab/>
    </w:r>
    <w:r w:rsidRPr="0083757F">
      <w:rPr>
        <w:b w:val="0"/>
        <w:i/>
        <w:color w:val="C0C0C0"/>
        <w:sz w:val="22"/>
      </w:rPr>
      <w:t>Suvienijusi įvairovę</w:t>
    </w:r>
    <w:r w:rsidRPr="0083757F">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2D756" w14:textId="77777777" w:rsidR="00064002" w:rsidRPr="0083757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027FD" w14:textId="77777777" w:rsidR="00064002" w:rsidRPr="0083757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882C" w14:textId="77777777" w:rsidR="00064002" w:rsidRPr="008375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F5A73" w14:textId="77777777" w:rsidR="00AD4E92" w:rsidRPr="0083757F" w:rsidRDefault="00AD4E92">
      <w:r w:rsidRPr="0083757F">
        <w:separator/>
      </w:r>
    </w:p>
  </w:footnote>
  <w:footnote w:type="continuationSeparator" w:id="0">
    <w:p w14:paraId="3D85F5A3" w14:textId="77777777" w:rsidR="00AD4E92" w:rsidRPr="0083757F" w:rsidRDefault="00AD4E92">
      <w:r w:rsidRPr="0083757F">
        <w:continuationSeparator/>
      </w:r>
    </w:p>
  </w:footnote>
  <w:footnote w:id="1">
    <w:p w14:paraId="3EF5733E" w14:textId="12FC1DA9" w:rsidR="00A42B46" w:rsidRPr="0083757F" w:rsidRDefault="00A42B46" w:rsidP="0083757F">
      <w:pPr>
        <w:pStyle w:val="FootnoteText"/>
        <w:ind w:left="567" w:hanging="567"/>
        <w:rPr>
          <w:sz w:val="24"/>
          <w:lang w:val="lt-LT"/>
        </w:rPr>
      </w:pPr>
      <w:r w:rsidRPr="0083757F">
        <w:rPr>
          <w:rStyle w:val="FootnoteReference"/>
          <w:sz w:val="24"/>
          <w:lang w:val="lt-LT"/>
        </w:rPr>
        <w:footnoteRef/>
      </w:r>
      <w:r w:rsidR="0083757F" w:rsidRPr="0083757F">
        <w:rPr>
          <w:sz w:val="24"/>
          <w:lang w:val="lt-LT"/>
        </w:rPr>
        <w:t xml:space="preserve"> </w:t>
      </w:r>
      <w:r w:rsidR="0083757F" w:rsidRPr="0083757F">
        <w:rPr>
          <w:sz w:val="24"/>
          <w:lang w:val="lt-LT"/>
        </w:rPr>
        <w:tab/>
      </w:r>
      <w:r w:rsidRPr="0083757F">
        <w:rPr>
          <w:sz w:val="24"/>
          <w:lang w:val="lt-LT"/>
        </w:rPr>
        <w:t xml:space="preserve">OL L 153, 2021 5 3, p. 48, ELI: </w:t>
      </w:r>
      <w:hyperlink r:id="rId1" w:history="1">
        <w:r w:rsidRPr="0083757F">
          <w:rPr>
            <w:rStyle w:val="Hyperlink"/>
            <w:sz w:val="24"/>
            <w:lang w:val="lt-LT"/>
          </w:rPr>
          <w:t>http://data.europa.eu/eli/reg/2021/691/oj</w:t>
        </w:r>
      </w:hyperlink>
      <w:r w:rsidRPr="0083757F">
        <w:rPr>
          <w:sz w:val="24"/>
          <w:lang w:val="lt-LT"/>
        </w:rPr>
        <w:t>.</w:t>
      </w:r>
    </w:p>
  </w:footnote>
  <w:footnote w:id="2">
    <w:p w14:paraId="6952E358" w14:textId="47B74146" w:rsidR="00A42B46" w:rsidRPr="0083757F" w:rsidRDefault="00A42B46" w:rsidP="0083757F">
      <w:pPr>
        <w:pStyle w:val="FootnoteText"/>
        <w:ind w:left="567" w:hanging="567"/>
        <w:rPr>
          <w:sz w:val="24"/>
          <w:lang w:val="lt-LT"/>
        </w:rPr>
      </w:pPr>
      <w:r w:rsidRPr="0083757F">
        <w:rPr>
          <w:rStyle w:val="FootnoteReference"/>
          <w:sz w:val="24"/>
          <w:lang w:val="lt-LT"/>
        </w:rPr>
        <w:footnoteRef/>
      </w:r>
      <w:r w:rsidR="0083757F" w:rsidRPr="0083757F">
        <w:rPr>
          <w:sz w:val="24"/>
          <w:lang w:val="lt-LT"/>
        </w:rPr>
        <w:t xml:space="preserve"> </w:t>
      </w:r>
      <w:r w:rsidR="0083757F" w:rsidRPr="0083757F">
        <w:rPr>
          <w:sz w:val="24"/>
          <w:lang w:val="lt-LT"/>
        </w:rPr>
        <w:tab/>
      </w:r>
      <w:r w:rsidRPr="0083757F">
        <w:rPr>
          <w:sz w:val="24"/>
          <w:lang w:val="lt-LT"/>
        </w:rPr>
        <w:t xml:space="preserve">OL L 433 I, 2020 12 22, p. 11, ELI: </w:t>
      </w:r>
      <w:hyperlink r:id="rId2" w:history="1">
        <w:r w:rsidRPr="0083757F">
          <w:rPr>
            <w:rStyle w:val="Hyperlink"/>
            <w:sz w:val="24"/>
            <w:lang w:val="lt-LT"/>
          </w:rPr>
          <w:t>http://data.europa.eu/eli/reg/2020/2093/oj</w:t>
        </w:r>
      </w:hyperlink>
      <w:r w:rsidRPr="0083757F">
        <w:rPr>
          <w:sz w:val="24"/>
          <w:lang w:val="lt-LT"/>
        </w:rPr>
        <w:t>.</w:t>
      </w:r>
    </w:p>
  </w:footnote>
  <w:footnote w:id="3">
    <w:p w14:paraId="2BE88E4C" w14:textId="00106720" w:rsidR="00A42B46" w:rsidRPr="0083757F" w:rsidRDefault="00A42B46" w:rsidP="0083757F">
      <w:pPr>
        <w:pStyle w:val="FootnoteText"/>
        <w:ind w:left="567" w:hanging="567"/>
        <w:rPr>
          <w:sz w:val="24"/>
          <w:lang w:val="lt-LT"/>
        </w:rPr>
      </w:pPr>
      <w:r w:rsidRPr="0083757F">
        <w:rPr>
          <w:rStyle w:val="FootnoteReference"/>
          <w:sz w:val="24"/>
          <w:lang w:val="lt-LT"/>
        </w:rPr>
        <w:footnoteRef/>
      </w:r>
      <w:r w:rsidR="0083757F" w:rsidRPr="0083757F">
        <w:rPr>
          <w:color w:val="333333"/>
          <w:sz w:val="24"/>
          <w:shd w:val="clear" w:color="auto" w:fill="FFFFFF"/>
          <w:lang w:val="lt-LT"/>
        </w:rPr>
        <w:t xml:space="preserve"> </w:t>
      </w:r>
      <w:r w:rsidR="0083757F" w:rsidRPr="007A5424">
        <w:rPr>
          <w:sz w:val="24"/>
          <w:shd w:val="clear" w:color="auto" w:fill="FFFFFF"/>
          <w:lang w:val="lt-LT"/>
        </w:rPr>
        <w:tab/>
      </w:r>
      <w:r w:rsidRPr="007A5424">
        <w:rPr>
          <w:sz w:val="24"/>
          <w:shd w:val="clear" w:color="auto" w:fill="FFFFFF"/>
          <w:lang w:val="lt-LT"/>
        </w:rPr>
        <w:t xml:space="preserve">2024 m. vasario 29 d. Tarybos reglamentas (ES, Euratomas) 2024/765, kuriuo iš dalies keičiamas Reglamentas (ES, Euratomas) 2020/2093, kuriuo nustatoma 2021–2027 m. daugiametė finansinė programa </w:t>
      </w:r>
      <w:r w:rsidRPr="0083757F">
        <w:rPr>
          <w:color w:val="333333"/>
          <w:sz w:val="24"/>
          <w:shd w:val="clear" w:color="auto" w:fill="FFFFFF"/>
          <w:lang w:val="lt-LT"/>
        </w:rPr>
        <w:t>(</w:t>
      </w:r>
      <w:r w:rsidRPr="0083757F">
        <w:rPr>
          <w:sz w:val="24"/>
          <w:lang w:val="lt-LT"/>
        </w:rPr>
        <w:t xml:space="preserve">OL L, 2024/765, 2024 2 29, ELI: </w:t>
      </w:r>
      <w:hyperlink r:id="rId3" w:history="1">
        <w:r w:rsidRPr="0083757F">
          <w:rPr>
            <w:rStyle w:val="Hyperlink"/>
            <w:sz w:val="24"/>
            <w:lang w:val="lt-LT"/>
          </w:rPr>
          <w:t>http://data.europa.eu/eli/reg/2024/765/oj</w:t>
        </w:r>
      </w:hyperlink>
      <w:r w:rsidRPr="0083757F">
        <w:rPr>
          <w:rStyle w:val="Emphasis"/>
          <w:color w:val="333333"/>
          <w:sz w:val="24"/>
          <w:shd w:val="clear" w:color="auto" w:fill="FFFFFF"/>
          <w:lang w:val="lt-LT"/>
        </w:rPr>
        <w:t>).</w:t>
      </w:r>
    </w:p>
  </w:footnote>
  <w:footnote w:id="4">
    <w:p w14:paraId="13A7BF98" w14:textId="0AA1FF97" w:rsidR="00A42B46" w:rsidRPr="0083757F" w:rsidRDefault="00A42B46" w:rsidP="0083757F">
      <w:pPr>
        <w:pStyle w:val="FootnoteText"/>
        <w:ind w:left="567" w:hanging="567"/>
        <w:rPr>
          <w:sz w:val="24"/>
          <w:lang w:val="lt-LT"/>
        </w:rPr>
      </w:pPr>
      <w:r w:rsidRPr="0083757F">
        <w:rPr>
          <w:rStyle w:val="FootnoteReference"/>
          <w:sz w:val="24"/>
          <w:lang w:val="lt-LT"/>
        </w:rPr>
        <w:footnoteRef/>
      </w:r>
      <w:r w:rsidR="0083757F" w:rsidRPr="0083757F">
        <w:rPr>
          <w:sz w:val="24"/>
          <w:lang w:val="lt-LT"/>
        </w:rPr>
        <w:t xml:space="preserve"> </w:t>
      </w:r>
      <w:r w:rsidR="0083757F" w:rsidRPr="0083757F">
        <w:rPr>
          <w:sz w:val="24"/>
          <w:lang w:val="lt-LT"/>
        </w:rPr>
        <w:tab/>
      </w:r>
      <w:r w:rsidRPr="0083757F">
        <w:rPr>
          <w:sz w:val="24"/>
          <w:lang w:val="lt-LT"/>
        </w:rPr>
        <w:t xml:space="preserve">OL L 433 I, 2020 12 22, p. 28, ELI: </w:t>
      </w:r>
      <w:hyperlink r:id="rId4" w:history="1">
        <w:r w:rsidRPr="0083757F">
          <w:rPr>
            <w:rStyle w:val="Hyperlink"/>
            <w:sz w:val="24"/>
            <w:lang w:val="lt-LT"/>
          </w:rPr>
          <w:t>http://data.europa.eu/eli/agree_interinstit/2020/1222/oj</w:t>
        </w:r>
      </w:hyperlink>
      <w:r w:rsidRPr="0083757F">
        <w:rPr>
          <w:sz w:val="24"/>
          <w:lang w:val="lt-LT"/>
        </w:rPr>
        <w:t>.</w:t>
      </w:r>
    </w:p>
  </w:footnote>
  <w:footnote w:id="5">
    <w:p w14:paraId="256DF6B9" w14:textId="67385466" w:rsidR="00A42B46" w:rsidRPr="0083757F" w:rsidRDefault="00A42B46" w:rsidP="0083757F">
      <w:pPr>
        <w:pStyle w:val="FootnoteText"/>
        <w:ind w:left="567" w:hanging="567"/>
        <w:rPr>
          <w:sz w:val="24"/>
          <w:lang w:val="lt-LT"/>
        </w:rPr>
      </w:pPr>
      <w:r w:rsidRPr="0083757F">
        <w:rPr>
          <w:rStyle w:val="FootnoteReference"/>
          <w:sz w:val="24"/>
          <w:lang w:val="lt-LT"/>
        </w:rPr>
        <w:footnoteRef/>
      </w:r>
      <w:r w:rsidR="0083757F" w:rsidRPr="0083757F">
        <w:rPr>
          <w:sz w:val="24"/>
          <w:lang w:val="lt-LT"/>
        </w:rPr>
        <w:t xml:space="preserve"> </w:t>
      </w:r>
      <w:r w:rsidR="0083757F" w:rsidRPr="0083757F">
        <w:rPr>
          <w:sz w:val="24"/>
          <w:lang w:val="lt-LT"/>
        </w:rPr>
        <w:tab/>
      </w:r>
      <w:r w:rsidRPr="0083757F">
        <w:rPr>
          <w:sz w:val="24"/>
          <w:lang w:val="lt-LT"/>
        </w:rPr>
        <w:t>Pagal EGF reglamento 3 straipsnį.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731C" w14:textId="77777777" w:rsidR="00064002" w:rsidRPr="008375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1A74F" w14:textId="77777777" w:rsidR="00064002" w:rsidRPr="008375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B35D3" w14:textId="77777777" w:rsidR="00064002" w:rsidRPr="008375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2988029">
    <w:abstractNumId w:val="9"/>
  </w:num>
  <w:num w:numId="2" w16cid:durableId="957446568">
    <w:abstractNumId w:val="9"/>
  </w:num>
  <w:num w:numId="3" w16cid:durableId="1953588649">
    <w:abstractNumId w:val="7"/>
  </w:num>
  <w:num w:numId="4" w16cid:durableId="763382903">
    <w:abstractNumId w:val="7"/>
  </w:num>
  <w:num w:numId="5" w16cid:durableId="1325428830">
    <w:abstractNumId w:val="6"/>
  </w:num>
  <w:num w:numId="6" w16cid:durableId="1241712775">
    <w:abstractNumId w:val="6"/>
  </w:num>
  <w:num w:numId="7" w16cid:durableId="479421971">
    <w:abstractNumId w:val="5"/>
  </w:num>
  <w:num w:numId="8" w16cid:durableId="767694617">
    <w:abstractNumId w:val="5"/>
  </w:num>
  <w:num w:numId="9" w16cid:durableId="394427549">
    <w:abstractNumId w:val="4"/>
  </w:num>
  <w:num w:numId="10" w16cid:durableId="2006395483">
    <w:abstractNumId w:val="4"/>
  </w:num>
  <w:num w:numId="11" w16cid:durableId="1983537604">
    <w:abstractNumId w:val="8"/>
  </w:num>
  <w:num w:numId="12" w16cid:durableId="1143044711">
    <w:abstractNumId w:val="8"/>
  </w:num>
  <w:num w:numId="13" w16cid:durableId="232812160">
    <w:abstractNumId w:val="3"/>
  </w:num>
  <w:num w:numId="14" w16cid:durableId="688139229">
    <w:abstractNumId w:val="3"/>
  </w:num>
  <w:num w:numId="15" w16cid:durableId="1742945298">
    <w:abstractNumId w:val="2"/>
  </w:num>
  <w:num w:numId="16" w16cid:durableId="184755779">
    <w:abstractNumId w:val="2"/>
  </w:num>
  <w:num w:numId="17" w16cid:durableId="694116520">
    <w:abstractNumId w:val="1"/>
  </w:num>
  <w:num w:numId="18" w16cid:durableId="1077820109">
    <w:abstractNumId w:val="1"/>
  </w:num>
  <w:num w:numId="19" w16cid:durableId="1516570">
    <w:abstractNumId w:val="0"/>
  </w:num>
  <w:num w:numId="20" w16cid:durableId="561792130">
    <w:abstractNumId w:val="0"/>
  </w:num>
  <w:num w:numId="21" w16cid:durableId="332539235">
    <w:abstractNumId w:val="9"/>
  </w:num>
  <w:num w:numId="22" w16cid:durableId="613515136">
    <w:abstractNumId w:val="7"/>
  </w:num>
  <w:num w:numId="23" w16cid:durableId="539780590">
    <w:abstractNumId w:val="6"/>
  </w:num>
  <w:num w:numId="24" w16cid:durableId="1278374027">
    <w:abstractNumId w:val="5"/>
  </w:num>
  <w:num w:numId="25" w16cid:durableId="345981319">
    <w:abstractNumId w:val="4"/>
  </w:num>
  <w:num w:numId="26" w16cid:durableId="618686561">
    <w:abstractNumId w:val="8"/>
  </w:num>
  <w:num w:numId="27" w16cid:durableId="610356718">
    <w:abstractNumId w:val="3"/>
  </w:num>
  <w:num w:numId="28" w16cid:durableId="1017805709">
    <w:abstractNumId w:val="2"/>
  </w:num>
  <w:num w:numId="29" w16cid:durableId="1077751183">
    <w:abstractNumId w:val="1"/>
  </w:num>
  <w:num w:numId="30" w16cid:durableId="1224028675">
    <w:abstractNumId w:val="0"/>
  </w:num>
  <w:num w:numId="31" w16cid:durableId="1044914145">
    <w:abstractNumId w:val="9"/>
  </w:num>
  <w:num w:numId="32" w16cid:durableId="1786927971">
    <w:abstractNumId w:val="7"/>
  </w:num>
  <w:num w:numId="33" w16cid:durableId="587234527">
    <w:abstractNumId w:val="6"/>
  </w:num>
  <w:num w:numId="34" w16cid:durableId="1764453887">
    <w:abstractNumId w:val="5"/>
  </w:num>
  <w:num w:numId="35" w16cid:durableId="1826161475">
    <w:abstractNumId w:val="4"/>
  </w:num>
  <w:num w:numId="36" w16cid:durableId="378820541">
    <w:abstractNumId w:val="8"/>
  </w:num>
  <w:num w:numId="37" w16cid:durableId="769399856">
    <w:abstractNumId w:val="3"/>
  </w:num>
  <w:num w:numId="38" w16cid:durableId="270364010">
    <w:abstractNumId w:val="2"/>
  </w:num>
  <w:num w:numId="39" w16cid:durableId="1284850499">
    <w:abstractNumId w:val="1"/>
  </w:num>
  <w:num w:numId="40" w16cid:durableId="1240596585">
    <w:abstractNumId w:val="0"/>
  </w:num>
  <w:num w:numId="41" w16cid:durableId="508326924">
    <w:abstractNumId w:val="10"/>
  </w:num>
  <w:num w:numId="42" w16cid:durableId="984968017">
    <w:abstractNumId w:val="10"/>
  </w:num>
  <w:num w:numId="43" w16cid:durableId="2040812089">
    <w:abstractNumId w:val="10"/>
  </w:num>
  <w:num w:numId="44" w16cid:durableId="1106847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LT"/>
    <w:docVar w:name="dvnumam" w:val="0"/>
    <w:docVar w:name="dvpe" w:val="776.828"/>
    <w:docVar w:name="dvrapporteur" w:val="Pranešėjas: "/>
    <w:docVar w:name="dvtitre" w:val="2025 m. spalio xx d. Europos Parlamento teisėkūros rezoliucija dėl pasiūlymo dėl Europos Parlamento ir Tarybos sprendimo dėl Europos prisitaikymo prie globalizacijos padarinių fondo atleistiems darbuotojams lėšų mobilizavimo pagal Vokietijos paraišką „EGF/2025/002 DE/Goodyear 2“(COM(2025)0302 – C10-0182/2025 – 2025/0245(BUD))"/>
  </w:docVars>
  <w:rsids>
    <w:rsidRoot w:val="00AD4E92"/>
    <w:rsid w:val="00002272"/>
    <w:rsid w:val="00002B4E"/>
    <w:rsid w:val="00044F4F"/>
    <w:rsid w:val="00064002"/>
    <w:rsid w:val="000677B9"/>
    <w:rsid w:val="000831BA"/>
    <w:rsid w:val="000A42CC"/>
    <w:rsid w:val="000B5BDB"/>
    <w:rsid w:val="000E7DD9"/>
    <w:rsid w:val="0010095E"/>
    <w:rsid w:val="00120822"/>
    <w:rsid w:val="00125B37"/>
    <w:rsid w:val="00186FD8"/>
    <w:rsid w:val="00187494"/>
    <w:rsid w:val="001C4B59"/>
    <w:rsid w:val="001C77B5"/>
    <w:rsid w:val="001F25A7"/>
    <w:rsid w:val="001F32AE"/>
    <w:rsid w:val="002767FF"/>
    <w:rsid w:val="002B18FE"/>
    <w:rsid w:val="002B5493"/>
    <w:rsid w:val="00343214"/>
    <w:rsid w:val="00361C00"/>
    <w:rsid w:val="00395FA1"/>
    <w:rsid w:val="003E15D4"/>
    <w:rsid w:val="00411CCE"/>
    <w:rsid w:val="0041666E"/>
    <w:rsid w:val="00421060"/>
    <w:rsid w:val="00421F2C"/>
    <w:rsid w:val="00450DB0"/>
    <w:rsid w:val="00471C19"/>
    <w:rsid w:val="004867E3"/>
    <w:rsid w:val="00494A28"/>
    <w:rsid w:val="004C0004"/>
    <w:rsid w:val="004C5D52"/>
    <w:rsid w:val="0050519A"/>
    <w:rsid w:val="005072A1"/>
    <w:rsid w:val="00513BAC"/>
    <w:rsid w:val="00514517"/>
    <w:rsid w:val="00545827"/>
    <w:rsid w:val="00560270"/>
    <w:rsid w:val="0058428F"/>
    <w:rsid w:val="005C2568"/>
    <w:rsid w:val="005F1B17"/>
    <w:rsid w:val="006037C0"/>
    <w:rsid w:val="006631B6"/>
    <w:rsid w:val="00680577"/>
    <w:rsid w:val="006F74FA"/>
    <w:rsid w:val="00731176"/>
    <w:rsid w:val="00731ADD"/>
    <w:rsid w:val="00734777"/>
    <w:rsid w:val="00747932"/>
    <w:rsid w:val="00751A4A"/>
    <w:rsid w:val="00756632"/>
    <w:rsid w:val="00762C74"/>
    <w:rsid w:val="00786EC0"/>
    <w:rsid w:val="007A5424"/>
    <w:rsid w:val="007D1690"/>
    <w:rsid w:val="007E22AD"/>
    <w:rsid w:val="00817416"/>
    <w:rsid w:val="0083757F"/>
    <w:rsid w:val="00842779"/>
    <w:rsid w:val="00865F67"/>
    <w:rsid w:val="00881A7B"/>
    <w:rsid w:val="008840E5"/>
    <w:rsid w:val="00887B3E"/>
    <w:rsid w:val="008C2AC6"/>
    <w:rsid w:val="00930C23"/>
    <w:rsid w:val="0093193B"/>
    <w:rsid w:val="009509D8"/>
    <w:rsid w:val="00950B64"/>
    <w:rsid w:val="00981893"/>
    <w:rsid w:val="00A1687D"/>
    <w:rsid w:val="00A42B46"/>
    <w:rsid w:val="00A43E52"/>
    <w:rsid w:val="00A4678D"/>
    <w:rsid w:val="00A778C7"/>
    <w:rsid w:val="00AB0007"/>
    <w:rsid w:val="00AB441E"/>
    <w:rsid w:val="00AB6293"/>
    <w:rsid w:val="00AD4E92"/>
    <w:rsid w:val="00AE0928"/>
    <w:rsid w:val="00AF3B82"/>
    <w:rsid w:val="00B12E95"/>
    <w:rsid w:val="00B22876"/>
    <w:rsid w:val="00B5387D"/>
    <w:rsid w:val="00B558F0"/>
    <w:rsid w:val="00B8528C"/>
    <w:rsid w:val="00B94D93"/>
    <w:rsid w:val="00BD48FE"/>
    <w:rsid w:val="00BD7BD8"/>
    <w:rsid w:val="00BE6ADC"/>
    <w:rsid w:val="00C05BFE"/>
    <w:rsid w:val="00C23CD4"/>
    <w:rsid w:val="00C61C0C"/>
    <w:rsid w:val="00C6552E"/>
    <w:rsid w:val="00C77787"/>
    <w:rsid w:val="00C941CB"/>
    <w:rsid w:val="00CC2357"/>
    <w:rsid w:val="00CE1452"/>
    <w:rsid w:val="00CF071A"/>
    <w:rsid w:val="00D058B8"/>
    <w:rsid w:val="00D56C11"/>
    <w:rsid w:val="00D834A0"/>
    <w:rsid w:val="00D872DF"/>
    <w:rsid w:val="00D91E21"/>
    <w:rsid w:val="00D9665D"/>
    <w:rsid w:val="00DA7FCD"/>
    <w:rsid w:val="00E24A1B"/>
    <w:rsid w:val="00E268C3"/>
    <w:rsid w:val="00E365E1"/>
    <w:rsid w:val="00E820A4"/>
    <w:rsid w:val="00EB006A"/>
    <w:rsid w:val="00EB4772"/>
    <w:rsid w:val="00ED169E"/>
    <w:rsid w:val="00ED4235"/>
    <w:rsid w:val="00F04346"/>
    <w:rsid w:val="00F075DC"/>
    <w:rsid w:val="00F149E9"/>
    <w:rsid w:val="00F5134D"/>
    <w:rsid w:val="00F74202"/>
    <w:rsid w:val="00F77F19"/>
    <w:rsid w:val="00F86CA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CFC36"/>
  <w15:chartTrackingRefBased/>
  <w15:docId w15:val="{8D42AEA2-DFE3-480C-B5C1-904D2F2C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2B4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42B46"/>
    <w:pPr>
      <w:keepNext/>
      <w:spacing w:after="480"/>
      <w:jc w:val="center"/>
    </w:pPr>
    <w:rPr>
      <w:rFonts w:ascii="Arial" w:hAnsi="Arial" w:cs="Arial"/>
      <w:b/>
    </w:rPr>
  </w:style>
  <w:style w:type="paragraph" w:customStyle="1" w:styleId="NormalHanging12a">
    <w:name w:val="NormalHanging12a"/>
    <w:basedOn w:val="Normal"/>
    <w:link w:val="NormalHanging12aChar"/>
    <w:rsid w:val="00A42B46"/>
    <w:pPr>
      <w:spacing w:after="240"/>
      <w:ind w:left="567" w:hanging="567"/>
    </w:pPr>
  </w:style>
  <w:style w:type="paragraph" w:styleId="Header">
    <w:name w:val="header"/>
    <w:basedOn w:val="Normal"/>
    <w:link w:val="HeaderChar"/>
    <w:rsid w:val="00A42B46"/>
    <w:pPr>
      <w:tabs>
        <w:tab w:val="center" w:pos="4513"/>
        <w:tab w:val="right" w:pos="9026"/>
      </w:tabs>
    </w:pPr>
  </w:style>
  <w:style w:type="character" w:customStyle="1" w:styleId="HeaderChar">
    <w:name w:val="Header Char"/>
    <w:basedOn w:val="DefaultParagraphFont"/>
    <w:link w:val="Header"/>
    <w:rsid w:val="00A42B46"/>
    <w:rPr>
      <w:sz w:val="24"/>
      <w:lang w:val="lt-LT"/>
    </w:rPr>
  </w:style>
  <w:style w:type="paragraph" w:customStyle="1" w:styleId="NormalBold24a">
    <w:name w:val="NormalBold24a"/>
    <w:basedOn w:val="Normal"/>
    <w:rsid w:val="00A42B46"/>
    <w:pPr>
      <w:spacing w:after="480"/>
    </w:pPr>
    <w:rPr>
      <w:b/>
      <w:bCs/>
    </w:rPr>
  </w:style>
  <w:style w:type="paragraph" w:customStyle="1" w:styleId="EPFooter">
    <w:name w:val="EPFooter"/>
    <w:basedOn w:val="Normal"/>
    <w:rsid w:val="00A42B46"/>
    <w:pPr>
      <w:tabs>
        <w:tab w:val="center" w:pos="4535"/>
        <w:tab w:val="right" w:pos="9071"/>
      </w:tabs>
      <w:spacing w:before="240" w:after="240"/>
    </w:pPr>
    <w:rPr>
      <w:color w:val="010000"/>
      <w:sz w:val="22"/>
    </w:rPr>
  </w:style>
  <w:style w:type="paragraph" w:customStyle="1" w:styleId="EPComma">
    <w:name w:val="EPComma"/>
    <w:basedOn w:val="Normal"/>
    <w:rsid w:val="00A42B46"/>
    <w:pPr>
      <w:spacing w:before="480" w:after="240"/>
    </w:pPr>
  </w:style>
  <w:style w:type="character" w:styleId="Hyperlink">
    <w:name w:val="Hyperlink"/>
    <w:basedOn w:val="DefaultParagraphFont"/>
    <w:rsid w:val="00A42B46"/>
    <w:rPr>
      <w:color w:val="0563C1" w:themeColor="hyperlink"/>
      <w:u w:val="single"/>
    </w:rPr>
  </w:style>
  <w:style w:type="character" w:customStyle="1" w:styleId="NormalHanging12aChar">
    <w:name w:val="NormalHanging12a Char"/>
    <w:basedOn w:val="DefaultParagraphFont"/>
    <w:link w:val="NormalHanging12a"/>
    <w:locked/>
    <w:rsid w:val="00A42B46"/>
    <w:rPr>
      <w:sz w:val="24"/>
      <w:lang w:val="lt-LT"/>
    </w:rPr>
  </w:style>
  <w:style w:type="character" w:styleId="Emphasis">
    <w:name w:val="Emphasis"/>
    <w:basedOn w:val="DefaultParagraphFont"/>
    <w:uiPriority w:val="20"/>
    <w:qFormat/>
    <w:rsid w:val="00A42B46"/>
    <w:rPr>
      <w:i/>
      <w:iCs/>
    </w:rPr>
  </w:style>
  <w:style w:type="paragraph" w:customStyle="1" w:styleId="Institutionquisigne">
    <w:name w:val="Institution qui signe"/>
    <w:basedOn w:val="Normal"/>
    <w:next w:val="Normal"/>
    <w:rsid w:val="00A42B4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42B4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42B4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42B4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42B4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42B46"/>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A42B46"/>
    <w:rPr>
      <w:rFonts w:ascii="Arial" w:hAnsi="Arial" w:cs="Arial"/>
      <w:b/>
      <w:sz w:val="24"/>
      <w:lang w:val="lt-LT"/>
    </w:rPr>
  </w:style>
  <w:style w:type="paragraph" w:styleId="Revision">
    <w:name w:val="Revision"/>
    <w:hidden/>
    <w:uiPriority w:val="99"/>
    <w:semiHidden/>
    <w:rsid w:val="00002B4E"/>
    <w:rPr>
      <w:sz w:val="24"/>
      <w:lang w:val="lt-LT"/>
    </w:rPr>
  </w:style>
  <w:style w:type="character" w:styleId="UnresolvedMention">
    <w:name w:val="Unresolved Mention"/>
    <w:basedOn w:val="DefaultParagraphFont"/>
    <w:uiPriority w:val="99"/>
    <w:semiHidden/>
    <w:unhideWhenUsed/>
    <w:rsid w:val="000B5BDB"/>
    <w:rPr>
      <w:color w:val="605E5C"/>
      <w:shd w:val="clear" w:color="auto" w:fill="E1DFDD"/>
    </w:rPr>
  </w:style>
  <w:style w:type="character" w:styleId="CommentReference">
    <w:name w:val="annotation reference"/>
    <w:basedOn w:val="DefaultParagraphFont"/>
    <w:rsid w:val="00CE1452"/>
    <w:rPr>
      <w:sz w:val="16"/>
      <w:szCs w:val="16"/>
    </w:rPr>
  </w:style>
  <w:style w:type="paragraph" w:styleId="CommentText">
    <w:name w:val="annotation text"/>
    <w:basedOn w:val="Normal"/>
    <w:link w:val="CommentTextChar"/>
    <w:rsid w:val="00CE1452"/>
    <w:rPr>
      <w:sz w:val="20"/>
    </w:rPr>
  </w:style>
  <w:style w:type="character" w:customStyle="1" w:styleId="CommentTextChar">
    <w:name w:val="Comment Text Char"/>
    <w:basedOn w:val="DefaultParagraphFont"/>
    <w:link w:val="CommentText"/>
    <w:rsid w:val="00CE1452"/>
    <w:rPr>
      <w:lang w:val="lt-LT"/>
    </w:rPr>
  </w:style>
  <w:style w:type="paragraph" w:styleId="CommentSubject">
    <w:name w:val="annotation subject"/>
    <w:basedOn w:val="CommentText"/>
    <w:next w:val="CommentText"/>
    <w:link w:val="CommentSubjectChar"/>
    <w:rsid w:val="00CE1452"/>
    <w:rPr>
      <w:b/>
      <w:bCs/>
    </w:rPr>
  </w:style>
  <w:style w:type="character" w:customStyle="1" w:styleId="CommentSubjectChar">
    <w:name w:val="Comment Subject Char"/>
    <w:basedOn w:val="CommentTextChar"/>
    <w:link w:val="CommentSubject"/>
    <w:rsid w:val="00CE1452"/>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1915">
      <w:bodyDiv w:val="1"/>
      <w:marLeft w:val="0"/>
      <w:marRight w:val="0"/>
      <w:marTop w:val="0"/>
      <w:marBottom w:val="0"/>
      <w:divBdr>
        <w:top w:val="none" w:sz="0" w:space="0" w:color="auto"/>
        <w:left w:val="none" w:sz="0" w:space="0" w:color="auto"/>
        <w:bottom w:val="none" w:sz="0" w:space="0" w:color="auto"/>
        <w:right w:val="none" w:sz="0" w:space="0" w:color="auto"/>
      </w:divBdr>
    </w:div>
    <w:div w:id="102663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1427</Words>
  <Characters>9536</Characters>
  <Application>Microsoft Office Word</Application>
  <DocSecurity>0</DocSecurity>
  <Lines>79</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Europos prisitaikymo prie globalizacijos padarinių fondo lėšų mobilizavimas: Vok</vt:lpstr>
      <vt:lpstr>        2025 m. spalio 8 d. Europos Parlamento rezoliucija dėl pasiūlymo dėl Europos Par</vt:lpstr>
    </vt:vector>
  </TitlesOfParts>
  <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2025-10-07T12:34:00Z</cp:lastPrinted>
  <dcterms:created xsi:type="dcterms:W3CDTF">2025-12-15T09:03:00Z</dcterms:created>
  <dcterms:modified xsi:type="dcterms:W3CDTF">2025-12-15T09:06:00Z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P10_TA(2025)0219_</vt:lpwstr>
  </property>
  <property fmtid="{D5CDD505-2E9C-101B-9397-08002B2CF9AE}" pid="4" name="&lt;Type&gt;">
    <vt:lpwstr>RR</vt:lpwstr>
  </property>
</Properties>
</file>